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widowControl/>
        <w:spacing w:beforeAutospacing="0" w:afterAutospacing="0" w:line="480" w:lineRule="auto"/>
        <w:jc w:val="center"/>
        <w:rPr>
          <w:rFonts w:ascii="宋体" w:hAnsi="宋体" w:eastAsia="宋体" w:cs="宋体"/>
          <w:b/>
          <w:kern w:val="2"/>
          <w:sz w:val="44"/>
          <w:szCs w:val="44"/>
        </w:rPr>
      </w:pPr>
    </w:p>
    <w:p>
      <w:pPr>
        <w:pStyle w:val="6"/>
        <w:widowControl/>
        <w:spacing w:beforeAutospacing="0" w:afterAutospacing="0" w:line="480" w:lineRule="auto"/>
        <w:jc w:val="center"/>
        <w:rPr>
          <w:rFonts w:ascii="宋体" w:hAnsi="宋体" w:eastAsia="宋体" w:cs="宋体"/>
          <w:b/>
          <w:kern w:val="2"/>
          <w:sz w:val="44"/>
          <w:szCs w:val="44"/>
        </w:rPr>
      </w:pPr>
    </w:p>
    <w:p>
      <w:pPr>
        <w:pStyle w:val="6"/>
        <w:widowControl/>
        <w:spacing w:beforeAutospacing="0" w:afterAutospacing="0" w:line="480" w:lineRule="auto"/>
        <w:jc w:val="center"/>
        <w:rPr>
          <w:rFonts w:ascii="宋体" w:hAnsi="宋体" w:eastAsia="宋体" w:cs="宋体"/>
          <w:b/>
          <w:kern w:val="2"/>
          <w:sz w:val="44"/>
          <w:szCs w:val="44"/>
        </w:rPr>
      </w:pPr>
      <w:r>
        <w:rPr>
          <w:rFonts w:hint="eastAsia" w:ascii="宋体" w:hAnsi="宋体" w:eastAsia="宋体" w:cs="宋体"/>
          <w:b/>
          <w:kern w:val="2"/>
          <w:sz w:val="44"/>
          <w:szCs w:val="44"/>
        </w:rPr>
        <w:t>莱 芜 市 人 民 政 府</w:t>
      </w:r>
    </w:p>
    <w:p>
      <w:pPr>
        <w:pStyle w:val="6"/>
        <w:widowControl/>
        <w:spacing w:beforeAutospacing="0" w:afterAutospacing="0" w:line="480" w:lineRule="auto"/>
        <w:jc w:val="center"/>
        <w:rPr>
          <w:rFonts w:hint="eastAsia" w:ascii="宋体" w:hAnsi="宋体" w:eastAsia="宋体" w:cs="宋体"/>
          <w:b/>
          <w:kern w:val="2"/>
          <w:sz w:val="44"/>
          <w:szCs w:val="44"/>
        </w:rPr>
      </w:pPr>
      <w:r>
        <w:rPr>
          <w:rFonts w:hint="eastAsia" w:ascii="宋体" w:hAnsi="宋体" w:eastAsia="宋体" w:cs="宋体"/>
          <w:b/>
          <w:kern w:val="2"/>
          <w:sz w:val="44"/>
          <w:szCs w:val="44"/>
        </w:rPr>
        <w:t>2017年政府信息公开</w:t>
      </w:r>
      <w:r>
        <w:rPr>
          <w:rFonts w:hint="eastAsia" w:ascii="宋体" w:hAnsi="宋体" w:eastAsia="宋体" w:cs="宋体"/>
          <w:b/>
          <w:kern w:val="2"/>
          <w:sz w:val="44"/>
          <w:szCs w:val="44"/>
          <w:lang w:eastAsia="zh-CN"/>
        </w:rPr>
        <w:t>工作</w:t>
      </w:r>
      <w:r>
        <w:rPr>
          <w:rFonts w:hint="eastAsia" w:ascii="宋体" w:hAnsi="宋体" w:eastAsia="宋体" w:cs="宋体"/>
          <w:b/>
          <w:kern w:val="2"/>
          <w:sz w:val="44"/>
          <w:szCs w:val="44"/>
        </w:rPr>
        <w:t>年度报告</w:t>
      </w:r>
    </w:p>
    <w:p>
      <w:pPr>
        <w:pStyle w:val="6"/>
        <w:widowControl/>
        <w:spacing w:beforeAutospacing="0" w:afterAutospacing="0" w:line="480" w:lineRule="auto"/>
        <w:jc w:val="both"/>
        <w:rPr>
          <w:rFonts w:ascii="仿宋_GB2312" w:eastAsia="仿宋_GB2312" w:hAnsiTheme="minorEastAsia" w:cstheme="minorBidi"/>
          <w:b/>
          <w:kern w:val="2"/>
          <w:sz w:val="44"/>
          <w:szCs w:val="44"/>
        </w:rPr>
      </w:pPr>
    </w:p>
    <w:p>
      <w:pPr>
        <w:pStyle w:val="6"/>
        <w:widowControl/>
        <w:spacing w:beforeAutospacing="0" w:afterAutospacing="0" w:line="480" w:lineRule="auto"/>
        <w:ind w:firstLine="640" w:firstLineChars="200"/>
        <w:jc w:val="both"/>
        <w:rPr>
          <w:rFonts w:ascii="仿宋_GB2312" w:eastAsia="仿宋_GB2312" w:cstheme="minorBidi"/>
          <w:kern w:val="2"/>
          <w:sz w:val="32"/>
          <w:szCs w:val="32"/>
        </w:rPr>
      </w:pPr>
      <w:r>
        <w:rPr>
          <w:rFonts w:hint="eastAsia" w:ascii="仿宋_GB2312" w:eastAsia="仿宋_GB2312" w:cstheme="minorBidi"/>
          <w:kern w:val="2"/>
          <w:sz w:val="32"/>
          <w:szCs w:val="32"/>
        </w:rPr>
        <w:t>本报告由莱芜市人民政府办公室按照《中华人民共和国政府信息公开条例》（以下简称《条例》）和《山东省政府信息公开办法》（以下简称《办法》）要求，根据莱城区人民政府、钢城区人民政府、市政府组成部门和部分事业单位（以下简称市政府部门）的2017年政府信息公开工作年度报告编制。本报告包括概述、主动公开情况、主动公开渠道、依申请公开政府信息和不予公开政府信息的情况、政府信息公开的收费及减免情况、因政府信息公开申请提起行政复议、行政诉讼的情况、所属事业单位信息公开工作推进措施和落实情况、存在的主要问题及改进情况，以及统计附表等内容。本报告中所列数据的统计期限为2017年1月1日至12月31日。本报告电子版可在“莱芜市人民政府”门户网站（http://www.laiwu.gov.cn/）查阅或下载。如对本报告有疑问，请与莱芜市人民政府办公室联系。（地址：莱芜市莱城区文化北路001 号；邮编：271199；电话：0634-6210011；邮箱：</w:t>
      </w:r>
      <w:r>
        <w:fldChar w:fldCharType="begin"/>
      </w:r>
      <w:r>
        <w:instrText xml:space="preserve"> HYPERLINK "mailto:lwgkzj@" </w:instrText>
      </w:r>
      <w:r>
        <w:fldChar w:fldCharType="separate"/>
      </w:r>
      <w:r>
        <w:rPr>
          <w:rFonts w:hint="eastAsia" w:ascii="仿宋_GB2312" w:eastAsia="仿宋_GB2312" w:cstheme="minorBidi"/>
          <w:kern w:val="2"/>
          <w:sz w:val="32"/>
          <w:szCs w:val="32"/>
        </w:rPr>
        <w:t>lwszfxxgk@</w:t>
      </w:r>
      <w:r>
        <w:rPr>
          <w:rFonts w:hint="eastAsia" w:ascii="仿宋_GB2312" w:eastAsia="仿宋_GB2312" w:cstheme="minorBidi"/>
          <w:kern w:val="2"/>
          <w:sz w:val="32"/>
          <w:szCs w:val="32"/>
        </w:rPr>
        <w:fldChar w:fldCharType="end"/>
      </w:r>
      <w:r>
        <w:rPr>
          <w:rFonts w:hint="eastAsia" w:ascii="仿宋_GB2312" w:eastAsia="仿宋_GB2312" w:cstheme="minorBidi"/>
          <w:kern w:val="2"/>
          <w:sz w:val="32"/>
          <w:szCs w:val="32"/>
        </w:rPr>
        <w:t>163.com）</w:t>
      </w:r>
    </w:p>
    <w:p>
      <w:pPr>
        <w:pStyle w:val="6"/>
        <w:widowControl/>
        <w:spacing w:beforeAutospacing="0" w:afterAutospacing="0" w:line="360" w:lineRule="auto"/>
        <w:ind w:firstLine="640" w:firstLineChars="200"/>
        <w:jc w:val="both"/>
        <w:rPr>
          <w:rFonts w:ascii="黑体" w:hAnsi="黑体" w:eastAsia="黑体" w:cs="经典黑体简"/>
          <w:bCs/>
          <w:kern w:val="2"/>
          <w:sz w:val="32"/>
          <w:szCs w:val="32"/>
        </w:rPr>
      </w:pPr>
      <w:r>
        <w:rPr>
          <w:rFonts w:hint="eastAsia" w:ascii="黑体" w:hAnsi="黑体" w:eastAsia="黑体" w:cs="经典黑体简"/>
          <w:bCs/>
          <w:kern w:val="2"/>
          <w:sz w:val="32"/>
          <w:szCs w:val="32"/>
        </w:rPr>
        <w:t>一、概述</w:t>
      </w:r>
    </w:p>
    <w:p>
      <w:pPr>
        <w:pStyle w:val="6"/>
        <w:widowControl/>
        <w:spacing w:beforeAutospacing="0" w:afterAutospacing="0" w:line="480" w:lineRule="auto"/>
        <w:ind w:firstLine="640" w:firstLineChars="200"/>
        <w:jc w:val="both"/>
        <w:rPr>
          <w:rFonts w:ascii="仿宋_GB2312" w:eastAsia="仿宋_GB2312" w:cstheme="minorBidi"/>
          <w:kern w:val="2"/>
          <w:sz w:val="32"/>
          <w:szCs w:val="32"/>
        </w:rPr>
      </w:pPr>
      <w:r>
        <w:rPr>
          <w:rFonts w:hint="eastAsia" w:ascii="仿宋_GB2312" w:eastAsia="仿宋_GB2312" w:cstheme="minorBidi"/>
          <w:kern w:val="2"/>
          <w:sz w:val="32"/>
          <w:szCs w:val="32"/>
        </w:rPr>
        <w:t>2017年，全市深入贯彻《条例》和《办法》，以落实《山东省人民政府办公厅关于印发2017年山东省政务公开工作要点的通知》（鲁政办发〔2017〕39号）和《莱芜市人民政府办公室关于印发2017年莱芜市政务公开工作要点的通知》（莱政办发〔2017〕11号）为抓手，切实加强组织领导，健全完善工作制度，加大主动公开力度，全市政府信息与政务公开工作扎实推进，公开数量明显增加、公开范围进一步扩大，为保障公众知情权、参与权、表达权、监督权，推进法治政府、服务型政府建设发挥了重要作用。</w:t>
      </w:r>
    </w:p>
    <w:p>
      <w:pPr>
        <w:pStyle w:val="6"/>
        <w:widowControl/>
        <w:spacing w:beforeAutospacing="0" w:afterAutospacing="0" w:line="480" w:lineRule="auto"/>
        <w:ind w:firstLine="643" w:firstLineChars="200"/>
        <w:jc w:val="both"/>
        <w:rPr>
          <w:rFonts w:ascii="仿宋_GB2312" w:eastAsia="仿宋_GB2312"/>
          <w:sz w:val="32"/>
          <w:szCs w:val="32"/>
        </w:rPr>
      </w:pPr>
      <w:r>
        <w:rPr>
          <w:rFonts w:hint="eastAsia" w:ascii="楷体_GB2312" w:hAnsi="楷体_GB2312" w:eastAsia="楷体_GB2312" w:cs="楷体_GB2312"/>
          <w:b/>
          <w:bCs/>
          <w:sz w:val="32"/>
          <w:szCs w:val="32"/>
        </w:rPr>
        <w:drawing>
          <wp:anchor distT="0" distB="0" distL="0" distR="0" simplePos="0" relativeHeight="251667456" behindDoc="0" locked="0" layoutInCell="1" allowOverlap="1">
            <wp:simplePos x="0" y="0"/>
            <wp:positionH relativeFrom="column">
              <wp:posOffset>3159125</wp:posOffset>
            </wp:positionH>
            <wp:positionV relativeFrom="paragraph">
              <wp:posOffset>1092835</wp:posOffset>
            </wp:positionV>
            <wp:extent cx="2240280" cy="3177540"/>
            <wp:effectExtent l="0" t="0" r="7620" b="381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240280" cy="3177540"/>
                    </a:xfrm>
                    <a:prstGeom prst="rect">
                      <a:avLst/>
                    </a:prstGeom>
                  </pic:spPr>
                </pic:pic>
              </a:graphicData>
            </a:graphic>
          </wp:anchor>
        </w:drawing>
      </w:r>
      <w:r>
        <w:rPr>
          <w:rFonts w:hint="eastAsia" w:ascii="楷体_GB2312" w:hAnsi="楷体_GB2312" w:eastAsia="楷体_GB2312" w:cs="楷体_GB2312"/>
          <w:b/>
          <w:bCs/>
          <w:kern w:val="2"/>
          <w:sz w:val="32"/>
          <w:szCs w:val="32"/>
        </w:rPr>
        <w:t>（一）完善机制制度，加强组织领导。</w:t>
      </w:r>
      <w:r>
        <w:rPr>
          <w:rFonts w:hint="eastAsia" w:ascii="仿宋_GB2312" w:eastAsia="仿宋_GB2312"/>
          <w:sz w:val="32"/>
          <w:szCs w:val="32"/>
        </w:rPr>
        <w:t>政务公开工作明确列入政府分工，由常务副市长分管，在莱芜市政府网站上进行公布。市监察局协调指导全市政务公开工作职责划入市政府办公室，加强工作协调，推动政府信息和政务公开工作深入、规范、有序开展。根据换届后人事变动及时充实调整了市政务公开工作领导小组组成人员，组成常务副市长为组长，市政府秘书长为副组长的政务公开领导小组，指导推进全市政务公开工作。</w:t>
      </w:r>
    </w:p>
    <w:p>
      <w:pPr>
        <w:pStyle w:val="6"/>
        <w:widowControl/>
        <w:spacing w:beforeAutospacing="0" w:afterAutospacing="0" w:line="480" w:lineRule="auto"/>
        <w:ind w:firstLine="640" w:firstLineChars="200"/>
        <w:jc w:val="both"/>
        <w:rPr>
          <w:rFonts w:ascii="仿宋_GB2312" w:eastAsia="仿宋_GB2312"/>
          <w:sz w:val="32"/>
          <w:szCs w:val="32"/>
        </w:rPr>
      </w:pPr>
    </w:p>
    <w:p>
      <w:pPr>
        <w:pStyle w:val="6"/>
        <w:widowControl/>
        <w:spacing w:beforeAutospacing="0" w:afterAutospacing="0" w:line="480" w:lineRule="auto"/>
        <w:ind w:firstLine="640" w:firstLineChars="200"/>
        <w:jc w:val="both"/>
        <w:rPr>
          <w:rFonts w:ascii="仿宋_GB2312" w:eastAsia="仿宋_GB2312"/>
          <w:sz w:val="32"/>
          <w:szCs w:val="32"/>
        </w:rPr>
      </w:pPr>
    </w:p>
    <w:p>
      <w:pPr>
        <w:spacing w:line="480" w:lineRule="auto"/>
        <w:ind w:firstLine="643" w:firstLineChars="200"/>
        <w:rPr>
          <w:rFonts w:ascii="仿宋_GB2312" w:eastAsia="仿宋_GB2312"/>
          <w:sz w:val="32"/>
          <w:szCs w:val="32"/>
        </w:rPr>
      </w:pPr>
      <w:r>
        <w:rPr>
          <w:rFonts w:hint="eastAsia" w:ascii="楷体_GB2312" w:hAnsi="楷体_GB2312" w:eastAsia="楷体_GB2312" w:cs="楷体_GB2312"/>
          <w:b/>
          <w:bCs/>
          <w:kern w:val="0"/>
          <w:sz w:val="32"/>
          <w:szCs w:val="32"/>
        </w:rPr>
        <w:drawing>
          <wp:anchor distT="0" distB="0" distL="0" distR="0" simplePos="0" relativeHeight="251668480" behindDoc="0" locked="0" layoutInCell="1" allowOverlap="1">
            <wp:simplePos x="0" y="0"/>
            <wp:positionH relativeFrom="column">
              <wp:posOffset>3288665</wp:posOffset>
            </wp:positionH>
            <wp:positionV relativeFrom="paragraph">
              <wp:posOffset>201930</wp:posOffset>
            </wp:positionV>
            <wp:extent cx="2553335" cy="3619500"/>
            <wp:effectExtent l="0" t="0" r="1841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559561" cy="3628634"/>
                    </a:xfrm>
                    <a:prstGeom prst="rect">
                      <a:avLst/>
                    </a:prstGeom>
                  </pic:spPr>
                </pic:pic>
              </a:graphicData>
            </a:graphic>
          </wp:anchor>
        </w:drawing>
      </w:r>
      <w:r>
        <w:rPr>
          <w:rFonts w:hint="eastAsia" w:ascii="楷体_GB2312" w:hAnsi="楷体_GB2312" w:eastAsia="楷体_GB2312" w:cs="楷体_GB2312"/>
          <w:b/>
          <w:bCs/>
          <w:kern w:val="0"/>
          <w:sz w:val="32"/>
          <w:szCs w:val="32"/>
        </w:rPr>
        <w:t>（二）细化工作部署，促进工作落实。</w:t>
      </w:r>
      <w:r>
        <w:rPr>
          <w:rFonts w:hint="eastAsia" w:ascii="仿宋_GB2312" w:hAnsi="仿宋" w:eastAsia="仿宋_GB2312"/>
          <w:sz w:val="32"/>
          <w:szCs w:val="32"/>
        </w:rPr>
        <w:t>落实政府信息公开指南和公开目录更新制度，根据中央、省的新要求，更新完善了市政府信息公开指南和政府信息公开目录。制定印发《2017年莱芜市政务公开工作要点》（莱政办发</w:t>
      </w:r>
      <w:r>
        <w:rPr>
          <w:rFonts w:hint="eastAsia" w:ascii="仿宋_GB2312" w:eastAsia="仿宋_GB2312"/>
          <w:sz w:val="32"/>
          <w:szCs w:val="32"/>
        </w:rPr>
        <w:t>〔2017〕</w:t>
      </w:r>
      <w:r>
        <w:rPr>
          <w:rFonts w:hint="eastAsia" w:ascii="仿宋_GB2312" w:hAnsi="仿宋" w:eastAsia="仿宋_GB2312"/>
          <w:sz w:val="32"/>
          <w:szCs w:val="32"/>
        </w:rPr>
        <w:t>11号），</w:t>
      </w:r>
      <w:r>
        <w:rPr>
          <w:rFonts w:hint="eastAsia" w:ascii="仿宋_GB2312" w:hAnsi="宋体" w:eastAsia="仿宋_GB2312" w:cs="宋体"/>
          <w:kern w:val="0"/>
          <w:sz w:val="32"/>
          <w:szCs w:val="32"/>
        </w:rPr>
        <w:t>部署年度政务公开重点工作</w:t>
      </w:r>
      <w:r>
        <w:rPr>
          <w:rFonts w:hint="eastAsia" w:ascii="仿宋_GB2312" w:hAnsi="仿宋" w:eastAsia="仿宋_GB2312"/>
          <w:sz w:val="32"/>
          <w:szCs w:val="32"/>
        </w:rPr>
        <w:t>。加强督导考核，开展政务公开专项督查2次，确保各项工作任务落到实处。继续将政务公开工作纳入各区的综合目标考核，制定年度政务公开工作考核指标表，分值权重不低于4%。</w:t>
      </w:r>
      <w:r>
        <w:rPr>
          <w:rFonts w:hint="eastAsia" w:ascii="仿宋_GB2312" w:eastAsia="仿宋_GB2312"/>
          <w:sz w:val="32"/>
          <w:szCs w:val="32"/>
        </w:rPr>
        <w:t>加大政务公开培训力度，年内组织培训1次。</w:t>
      </w:r>
    </w:p>
    <w:p>
      <w:pPr>
        <w:spacing w:line="480" w:lineRule="auto"/>
        <w:ind w:firstLine="640"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69504" behindDoc="0" locked="0" layoutInCell="1" allowOverlap="1">
            <wp:simplePos x="0" y="0"/>
            <wp:positionH relativeFrom="column">
              <wp:posOffset>1061085</wp:posOffset>
            </wp:positionH>
            <wp:positionV relativeFrom="paragraph">
              <wp:posOffset>58420</wp:posOffset>
            </wp:positionV>
            <wp:extent cx="3673475" cy="3621405"/>
            <wp:effectExtent l="0" t="0" r="3175" b="17145"/>
            <wp:wrapSquare wrapText="bothSides"/>
            <wp:docPr id="1" name="图片 1" descr="微信截图_2018012520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180125202444"/>
                    <pic:cNvPicPr>
                      <a:picLocks noChangeAspect="1"/>
                    </pic:cNvPicPr>
                  </pic:nvPicPr>
                  <pic:blipFill>
                    <a:blip r:embed="rId7"/>
                    <a:stretch>
                      <a:fillRect/>
                    </a:stretch>
                  </pic:blipFill>
                  <pic:spPr>
                    <a:xfrm>
                      <a:off x="0" y="0"/>
                      <a:ext cx="3673475" cy="3621405"/>
                    </a:xfrm>
                    <a:prstGeom prst="rect">
                      <a:avLst/>
                    </a:prstGeom>
                  </pic:spPr>
                </pic:pic>
              </a:graphicData>
            </a:graphic>
          </wp:anchor>
        </w:drawing>
      </w:r>
    </w:p>
    <w:p>
      <w:pPr>
        <w:spacing w:line="480" w:lineRule="auto"/>
        <w:ind w:firstLine="640" w:firstLineChars="200"/>
        <w:jc w:val="left"/>
        <w:rPr>
          <w:rFonts w:ascii="仿宋_GB2312" w:eastAsia="仿宋_GB2312"/>
          <w:sz w:val="32"/>
          <w:szCs w:val="32"/>
        </w:rPr>
      </w:pPr>
    </w:p>
    <w:p>
      <w:pPr>
        <w:spacing w:line="480" w:lineRule="auto"/>
        <w:ind w:firstLine="643" w:firstLineChars="200"/>
        <w:rPr>
          <w:rFonts w:ascii="仿宋_GB2312" w:hAnsi="华文楷体" w:eastAsia="仿宋_GB2312"/>
          <w:b/>
          <w:sz w:val="32"/>
          <w:szCs w:val="32"/>
        </w:rPr>
      </w:pPr>
    </w:p>
    <w:p>
      <w:pPr>
        <w:spacing w:line="480" w:lineRule="auto"/>
        <w:ind w:firstLine="643" w:firstLineChars="200"/>
        <w:rPr>
          <w:rFonts w:ascii="仿宋_GB2312" w:hAnsi="华文楷体" w:eastAsia="仿宋_GB2312"/>
          <w:b/>
          <w:sz w:val="32"/>
          <w:szCs w:val="32"/>
        </w:rPr>
      </w:pPr>
    </w:p>
    <w:p>
      <w:pPr>
        <w:spacing w:line="480" w:lineRule="auto"/>
        <w:ind w:firstLine="643" w:firstLineChars="200"/>
        <w:rPr>
          <w:rFonts w:ascii="仿宋_GB2312" w:hAnsi="华文楷体" w:eastAsia="仿宋_GB2312"/>
          <w:b/>
          <w:sz w:val="32"/>
          <w:szCs w:val="32"/>
        </w:rPr>
      </w:pPr>
    </w:p>
    <w:p>
      <w:pPr>
        <w:spacing w:line="480" w:lineRule="auto"/>
        <w:ind w:firstLine="643" w:firstLineChars="200"/>
        <w:rPr>
          <w:rFonts w:ascii="仿宋_GB2312" w:hAnsi="华文楷体" w:eastAsia="仿宋_GB2312"/>
          <w:b/>
          <w:sz w:val="32"/>
          <w:szCs w:val="32"/>
        </w:rPr>
      </w:pPr>
    </w:p>
    <w:p>
      <w:pPr>
        <w:spacing w:line="480" w:lineRule="auto"/>
        <w:ind w:firstLine="643" w:firstLineChars="200"/>
        <w:rPr>
          <w:rFonts w:ascii="仿宋_GB2312" w:hAnsi="华文楷体" w:eastAsia="仿宋_GB2312"/>
          <w:b/>
          <w:sz w:val="32"/>
          <w:szCs w:val="32"/>
        </w:rPr>
      </w:pPr>
    </w:p>
    <w:p>
      <w:pPr>
        <w:spacing w:line="480" w:lineRule="auto"/>
        <w:ind w:firstLine="643" w:firstLineChars="200"/>
        <w:rPr>
          <w:rFonts w:ascii="仿宋_GB2312" w:hAnsi="华文楷体" w:eastAsia="仿宋_GB2312"/>
          <w:b/>
          <w:sz w:val="32"/>
          <w:szCs w:val="32"/>
        </w:rPr>
      </w:pPr>
    </w:p>
    <w:p>
      <w:pPr>
        <w:spacing w:line="480" w:lineRule="auto"/>
        <w:ind w:firstLine="643" w:firstLineChars="200"/>
        <w:rPr>
          <w:rFonts w:ascii="仿宋_GB2312" w:hAnsi="华文楷体" w:eastAsia="仿宋_GB2312"/>
          <w:b/>
          <w:sz w:val="32"/>
          <w:szCs w:val="32"/>
        </w:rPr>
      </w:pPr>
    </w:p>
    <w:p>
      <w:pPr>
        <w:spacing w:line="480" w:lineRule="auto"/>
        <w:ind w:firstLine="643" w:firstLineChars="200"/>
        <w:rPr>
          <w:rFonts w:ascii="仿宋_GB2312" w:hAnsi="仿宋" w:eastAsia="仿宋_GB2312" w:cs="仿宋_GB2312"/>
          <w:sz w:val="32"/>
          <w:szCs w:val="32"/>
        </w:rPr>
      </w:pPr>
      <w:r>
        <w:rPr>
          <w:rFonts w:hint="eastAsia" w:ascii="楷体_GB2312" w:hAnsi="楷体_GB2312" w:eastAsia="楷体_GB2312" w:cs="楷体_GB2312"/>
          <w:b/>
          <w:bCs/>
          <w:kern w:val="0"/>
          <w:sz w:val="32"/>
          <w:szCs w:val="32"/>
        </w:rPr>
        <w:t>（三）扎实推进“五公开”，加大公开力度。</w:t>
      </w:r>
      <w:r>
        <w:rPr>
          <w:rFonts w:hint="eastAsia" w:ascii="仿宋_GB2312" w:hAnsi="仿宋" w:eastAsia="仿宋_GB2312" w:cs="宋体"/>
          <w:kern w:val="0"/>
          <w:sz w:val="32"/>
          <w:szCs w:val="32"/>
        </w:rPr>
        <w:t>将公开要求纳入公文办理程序，在公文流转程序中落实公开属性确认环节，严格落实信息公开属性源头认定机制，加强信息公开保密审查制度建设，对拟公开的政府信息，依法依规做好保密审查。加大行政权力运行公开力度，截止12月底，市政府门户网站公开发布市政府会议信息154条、政府文件265件、规范性文件12件，发布政策解读12条。</w:t>
      </w:r>
      <w:r>
        <w:rPr>
          <w:rFonts w:hint="eastAsia" w:ascii="仿宋_GB2312" w:hAnsi="仿宋" w:eastAsia="仿宋_GB2312" w:cs="仿宋_GB2312"/>
          <w:sz w:val="32"/>
          <w:szCs w:val="32"/>
        </w:rPr>
        <w:t>实行重大决策预公开，政府工作报告、莱芜市地标建筑等一些重大决策、文件出台前，均在政府网站专栏公开发布征集意见公告，广泛听取公众意见。</w:t>
      </w:r>
    </w:p>
    <w:p>
      <w:pPr>
        <w:spacing w:line="480" w:lineRule="auto"/>
        <w:ind w:firstLine="640" w:firstLineChars="200"/>
        <w:rPr>
          <w:rFonts w:ascii="仿宋_GB2312" w:eastAsia="仿宋_GB2312"/>
          <w:sz w:val="32"/>
          <w:szCs w:val="32"/>
        </w:rPr>
      </w:pPr>
      <w:r>
        <w:rPr>
          <w:rFonts w:hint="eastAsia" w:ascii="仿宋_GB2312" w:eastAsia="仿宋_GB2312"/>
          <w:sz w:val="32"/>
          <w:szCs w:val="32"/>
        </w:rPr>
        <w:drawing>
          <wp:anchor distT="0" distB="0" distL="0" distR="0" simplePos="0" relativeHeight="251663360" behindDoc="0" locked="0" layoutInCell="1" allowOverlap="1">
            <wp:simplePos x="0" y="0"/>
            <wp:positionH relativeFrom="column">
              <wp:posOffset>416560</wp:posOffset>
            </wp:positionH>
            <wp:positionV relativeFrom="paragraph">
              <wp:posOffset>102870</wp:posOffset>
            </wp:positionV>
            <wp:extent cx="4909820" cy="4384040"/>
            <wp:effectExtent l="0" t="0" r="5080" b="1651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9820" cy="4384040"/>
                    </a:xfrm>
                    <a:prstGeom prst="rect">
                      <a:avLst/>
                    </a:prstGeom>
                  </pic:spPr>
                </pic:pic>
              </a:graphicData>
            </a:graphic>
          </wp:anchor>
        </w:drawing>
      </w:r>
    </w:p>
    <w:p>
      <w:pPr>
        <w:pStyle w:val="6"/>
        <w:widowControl/>
        <w:spacing w:beforeAutospacing="0" w:afterAutospacing="0" w:line="480" w:lineRule="auto"/>
        <w:ind w:firstLine="643" w:firstLineChars="200"/>
        <w:jc w:val="both"/>
        <w:rPr>
          <w:rFonts w:ascii="仿宋_GB2312" w:eastAsia="仿宋_GB2312"/>
          <w:sz w:val="32"/>
          <w:szCs w:val="32"/>
          <w:u w:val="single"/>
        </w:rPr>
      </w:pPr>
      <w:r>
        <w:rPr>
          <w:rFonts w:hint="eastAsia" w:ascii="楷体_GB2312" w:hAnsi="楷体_GB2312" w:eastAsia="楷体_GB2312" w:cs="楷体_GB2312"/>
          <w:b/>
          <w:bCs/>
          <w:sz w:val="32"/>
          <w:szCs w:val="32"/>
        </w:rPr>
        <w:t>（四）强化平台建设，回应社会关切。</w:t>
      </w:r>
      <w:r>
        <w:rPr>
          <w:rFonts w:hint="eastAsia" w:ascii="仿宋_GB2312" w:hAnsi="黑体" w:eastAsia="仿宋_GB2312" w:cs="黑体"/>
          <w:kern w:val="2"/>
          <w:sz w:val="32"/>
          <w:szCs w:val="32"/>
        </w:rPr>
        <w:t>充分发挥政府网站公开政府信息的第一平台作用，对市政府门户网站“政务公开”专栏进行了调整完善，集中公开行政权力运行、“放管服”改革、重大建设项目与公共资源配置、民生领域信息等重点领域方面的信息1600余条。积极探索公众参与新模式，不断拓展门户网站的民意征集、网民留言办理等互动功能。积极回应网民关切，解决网民反映的问题。全年受理网民信件11062件，办结10448件，办结率94.45%</w:t>
      </w:r>
      <w:r>
        <w:rPr>
          <w:rFonts w:hint="eastAsia" w:ascii="仿宋_GB2312" w:eastAsia="仿宋_GB2312"/>
          <w:sz w:val="32"/>
          <w:szCs w:val="32"/>
        </w:rPr>
        <w:t>。</w:t>
      </w:r>
    </w:p>
    <w:p>
      <w:pPr>
        <w:pStyle w:val="6"/>
        <w:widowControl/>
        <w:spacing w:beforeAutospacing="0" w:afterAutospacing="0" w:line="480" w:lineRule="auto"/>
        <w:ind w:firstLine="640" w:firstLineChars="200"/>
        <w:jc w:val="both"/>
        <w:rPr>
          <w:rFonts w:ascii="仿宋_GB2312" w:eastAsia="仿宋_GB2312"/>
          <w:sz w:val="32"/>
          <w:szCs w:val="32"/>
          <w:u w:val="single"/>
        </w:rPr>
      </w:pPr>
      <w:r>
        <w:rPr>
          <w:rFonts w:hint="eastAsia" w:ascii="仿宋_GB2312" w:hAnsi="黑体" w:eastAsia="仿宋_GB2312" w:cs="黑体"/>
          <w:kern w:val="2"/>
          <w:sz w:val="32"/>
          <w:szCs w:val="32"/>
          <w:u w:val="single"/>
        </w:rPr>
        <w:drawing>
          <wp:anchor distT="0" distB="0" distL="0" distR="0" simplePos="0" relativeHeight="251664384" behindDoc="0" locked="0" layoutInCell="1" allowOverlap="1">
            <wp:simplePos x="0" y="0"/>
            <wp:positionH relativeFrom="column">
              <wp:posOffset>15875</wp:posOffset>
            </wp:positionH>
            <wp:positionV relativeFrom="paragraph">
              <wp:posOffset>519430</wp:posOffset>
            </wp:positionV>
            <wp:extent cx="5241290" cy="4307840"/>
            <wp:effectExtent l="0" t="0" r="16510" b="1651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41290" cy="4307840"/>
                    </a:xfrm>
                    <a:prstGeom prst="rect">
                      <a:avLst/>
                    </a:prstGeom>
                  </pic:spPr>
                </pic:pic>
              </a:graphicData>
            </a:graphic>
          </wp:anchor>
        </w:drawing>
      </w:r>
    </w:p>
    <w:p>
      <w:pPr>
        <w:pStyle w:val="6"/>
        <w:widowControl/>
        <w:spacing w:beforeAutospacing="0" w:afterAutospacing="0" w:line="480" w:lineRule="auto"/>
        <w:ind w:firstLine="640" w:firstLineChars="200"/>
        <w:rPr>
          <w:rFonts w:ascii="仿宋_GB2312" w:hAnsi="黑体" w:eastAsia="仿宋_GB2312" w:cs="黑体"/>
          <w:kern w:val="2"/>
          <w:sz w:val="32"/>
          <w:szCs w:val="32"/>
          <w:u w:val="single"/>
        </w:rPr>
      </w:pPr>
    </w:p>
    <w:p>
      <w:pPr>
        <w:pStyle w:val="6"/>
        <w:widowControl/>
        <w:spacing w:beforeAutospacing="0" w:afterAutospacing="0" w:line="480" w:lineRule="auto"/>
        <w:ind w:firstLine="640" w:firstLineChars="200"/>
        <w:rPr>
          <w:rFonts w:ascii="仿宋_GB2312" w:hAnsi="黑体" w:eastAsia="仿宋_GB2312" w:cs="黑体"/>
          <w:kern w:val="2"/>
          <w:sz w:val="32"/>
          <w:szCs w:val="32"/>
          <w:u w:val="single"/>
        </w:rPr>
      </w:pPr>
    </w:p>
    <w:p>
      <w:pPr>
        <w:pStyle w:val="6"/>
        <w:widowControl/>
        <w:spacing w:beforeAutospacing="0" w:afterAutospacing="0" w:line="360" w:lineRule="auto"/>
        <w:ind w:firstLine="640" w:firstLineChars="200"/>
        <w:jc w:val="both"/>
        <w:rPr>
          <w:rFonts w:ascii="黑体" w:hAnsi="黑体" w:eastAsia="黑体" w:cs="经典黑体简"/>
          <w:bCs/>
          <w:kern w:val="2"/>
          <w:sz w:val="32"/>
          <w:szCs w:val="32"/>
        </w:rPr>
      </w:pPr>
      <w:r>
        <w:rPr>
          <w:rFonts w:hint="eastAsia" w:ascii="黑体" w:hAnsi="黑体" w:eastAsia="黑体" w:cs="经典黑体简"/>
          <w:bCs/>
          <w:kern w:val="2"/>
          <w:sz w:val="32"/>
          <w:szCs w:val="32"/>
        </w:rPr>
        <w:t>二、主动公开情况</w:t>
      </w:r>
    </w:p>
    <w:p>
      <w:pPr>
        <w:pStyle w:val="6"/>
        <w:widowControl/>
        <w:spacing w:beforeAutospacing="0" w:afterAutospacing="0" w:line="480" w:lineRule="auto"/>
        <w:ind w:firstLine="640" w:firstLineChars="200"/>
        <w:jc w:val="both"/>
        <w:rPr>
          <w:rFonts w:ascii="仿宋_GB2312" w:hAnsi="仿宋" w:eastAsia="仿宋_GB2312"/>
          <w:sz w:val="32"/>
          <w:szCs w:val="32"/>
        </w:rPr>
      </w:pPr>
      <w:r>
        <w:rPr>
          <w:rFonts w:hint="eastAsia" w:ascii="仿宋_GB2312" w:hAnsi="仿宋" w:eastAsia="仿宋_GB2312"/>
          <w:sz w:val="32"/>
          <w:szCs w:val="32"/>
        </w:rPr>
        <w:t>2017年度，全市各级政府网站主动公开政府信息36875条，其中，市政府13026条，市政府部门17285条，区政府6564条。主动公开内容和要点落实情况如下：</w:t>
      </w:r>
    </w:p>
    <w:p>
      <w:pPr>
        <w:spacing w:line="480" w:lineRule="auto"/>
        <w:ind w:firstLine="643" w:firstLineChars="200"/>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（一）围绕稳增长推进公开</w:t>
      </w:r>
    </w:p>
    <w:p>
      <w:pPr>
        <w:spacing w:line="480" w:lineRule="auto"/>
        <w:ind w:firstLine="643" w:firstLineChars="200"/>
        <w:rPr>
          <w:rFonts w:ascii="仿宋_GB2312" w:eastAsia="仿宋_GB2312"/>
          <w:sz w:val="32"/>
          <w:szCs w:val="32"/>
        </w:rPr>
      </w:pPr>
      <w:r>
        <w:rPr>
          <w:rFonts w:hint="eastAsia" w:ascii="仿宋_GB2312" w:eastAsia="仿宋_GB2312"/>
          <w:b/>
          <w:sz w:val="32"/>
          <w:szCs w:val="32"/>
        </w:rPr>
        <w:t>1、加强预期引导。政策公开方面，</w:t>
      </w:r>
      <w:r>
        <w:rPr>
          <w:rFonts w:hint="eastAsia" w:ascii="仿宋_GB2312" w:eastAsia="仿宋_GB2312"/>
          <w:sz w:val="32"/>
          <w:szCs w:val="32"/>
        </w:rPr>
        <w:t>国家、省出台的宏观经济政策和我市出台的相关经济发展政策，创业就业指导性政策、金融、财政资金政策等均在市政府网站政务公开栏目公开和部门网站进行公开。加大预决算公开力度、细化公开内容，市、区两级政府全面公开政府预决算、“三公”经费预决算。</w:t>
      </w:r>
    </w:p>
    <w:p>
      <w:pPr>
        <w:spacing w:line="480" w:lineRule="auto"/>
        <w:ind w:firstLine="640"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61312" behindDoc="0" locked="0" layoutInCell="1" allowOverlap="1">
            <wp:simplePos x="0" y="0"/>
            <wp:positionH relativeFrom="column">
              <wp:posOffset>-67945</wp:posOffset>
            </wp:positionH>
            <wp:positionV relativeFrom="paragraph">
              <wp:posOffset>356235</wp:posOffset>
            </wp:positionV>
            <wp:extent cx="5836285" cy="2497455"/>
            <wp:effectExtent l="0" t="0" r="12065" b="1714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836285" cy="2497455"/>
                    </a:xfrm>
                    <a:prstGeom prst="rect">
                      <a:avLst/>
                    </a:prstGeom>
                  </pic:spPr>
                </pic:pic>
              </a:graphicData>
            </a:graphic>
          </wp:anchor>
        </w:drawing>
      </w:r>
    </w:p>
    <w:p>
      <w:pPr>
        <w:spacing w:line="480" w:lineRule="auto"/>
        <w:ind w:firstLine="643" w:firstLineChars="200"/>
        <w:rPr>
          <w:rFonts w:ascii="仿宋_GB2312" w:eastAsia="仿宋_GB2312" w:cs="仿宋_GB2312"/>
          <w:sz w:val="32"/>
          <w:szCs w:val="32"/>
        </w:rPr>
      </w:pPr>
      <w:r>
        <w:rPr>
          <w:rFonts w:hint="eastAsia" w:ascii="仿宋_GB2312" w:hAnsi="ˎ̥" w:eastAsia="仿宋_GB2312"/>
          <w:b/>
          <w:color w:val="111111"/>
          <w:sz w:val="32"/>
          <w:szCs w:val="32"/>
        </w:rPr>
        <w:t>统计信息公开。</w:t>
      </w:r>
      <w:r>
        <w:rPr>
          <w:rFonts w:hint="eastAsia" w:ascii="仿宋_GB2312" w:hAnsi="ˎ̥" w:eastAsia="仿宋_GB2312"/>
          <w:bCs/>
          <w:color w:val="111111"/>
          <w:sz w:val="32"/>
          <w:szCs w:val="32"/>
        </w:rPr>
        <w:t>定期召开季度、年度国民经济运行情况新闻发布会，通过主流媒体、网站、微信等公开渠道及时发布经济形势研究分析和主要经济指标。开设</w:t>
      </w:r>
      <w:r>
        <w:rPr>
          <w:rFonts w:hint="eastAsia" w:ascii="仿宋_GB2312" w:eastAsia="仿宋_GB2312" w:cs="仿宋_GB2312"/>
          <w:bCs/>
          <w:sz w:val="32"/>
          <w:szCs w:val="32"/>
        </w:rPr>
        <w:t>“统计数据、统计分析、专题专栏”栏目，对普查数据、国民经济社会综合数据及时汇总完善，重点加强更新与维护，内容涵盖全市经济社会发展各阶段、各类别、各层面的详实资料。</w:t>
      </w:r>
    </w:p>
    <w:p>
      <w:pPr>
        <w:spacing w:line="48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drawing>
          <wp:anchor distT="0" distB="0" distL="114300" distR="114300" simplePos="0" relativeHeight="251662336" behindDoc="0" locked="0" layoutInCell="1" allowOverlap="1">
            <wp:simplePos x="0" y="0"/>
            <wp:positionH relativeFrom="margin">
              <wp:posOffset>211455</wp:posOffset>
            </wp:positionH>
            <wp:positionV relativeFrom="paragraph">
              <wp:posOffset>296545</wp:posOffset>
            </wp:positionV>
            <wp:extent cx="4880610" cy="2537460"/>
            <wp:effectExtent l="0" t="0" r="15240" b="1524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880610" cy="2537460"/>
                    </a:xfrm>
                    <a:prstGeom prst="rect">
                      <a:avLst/>
                    </a:prstGeom>
                  </pic:spPr>
                </pic:pic>
              </a:graphicData>
            </a:graphic>
          </wp:anchor>
        </w:drawing>
      </w:r>
    </w:p>
    <w:p>
      <w:pPr>
        <w:spacing w:line="48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加强审计信息公开。</w:t>
      </w:r>
      <w:r>
        <w:rPr>
          <w:rFonts w:hint="eastAsia" w:ascii="仿宋_GB2312" w:hAnsi="仿宋_GB2312" w:eastAsia="仿宋_GB2312" w:cs="仿宋_GB2312"/>
          <w:sz w:val="32"/>
          <w:szCs w:val="32"/>
        </w:rPr>
        <w:t>市政府网站公示公告发布审计相关消息，及时公开市局和两区信息。运用新媒体手段，建立“莱芜审计”微信公众号，助力政务公开工作。</w:t>
      </w:r>
    </w:p>
    <w:p>
      <w:pPr>
        <w:spacing w:line="480" w:lineRule="auto"/>
        <w:ind w:firstLine="643" w:firstLineChars="200"/>
        <w:rPr>
          <w:rFonts w:ascii="仿宋_GB2312" w:hAnsi="仿宋_GB2312" w:eastAsia="仿宋_GB2312" w:cs="仿宋_GB2312"/>
          <w:sz w:val="32"/>
          <w:szCs w:val="32"/>
        </w:rPr>
      </w:pPr>
      <w:bookmarkStart w:id="0" w:name="_Hlk504049982"/>
      <w:r>
        <w:rPr>
          <w:rFonts w:hint="eastAsia" w:ascii="仿宋_GB2312" w:hAnsi="仿宋_GB2312" w:eastAsia="仿宋_GB2312" w:cs="仿宋_GB2312"/>
          <w:b/>
          <w:bCs/>
          <w:kern w:val="0"/>
          <w:sz w:val="32"/>
          <w:szCs w:val="32"/>
        </w:rPr>
        <w:t>2、减税、降费、降低要素成本信息公开。</w:t>
      </w:r>
      <w:bookmarkEnd w:id="0"/>
      <w:r>
        <w:rPr>
          <w:rFonts w:hint="eastAsia" w:ascii="仿宋_GB2312" w:hAnsi="仿宋_GB2312" w:eastAsia="仿宋_GB2312" w:cs="仿宋_GB2312"/>
          <w:color w:val="000000"/>
          <w:sz w:val="32"/>
          <w:szCs w:val="32"/>
        </w:rPr>
        <w:t>推进减税降费信息公开，</w:t>
      </w:r>
      <w:r>
        <w:rPr>
          <w:rFonts w:hint="eastAsia" w:ascii="仿宋_GB2312" w:hAnsi="仿宋_GB2312" w:eastAsia="仿宋_GB2312" w:cs="仿宋_GB2312"/>
          <w:sz w:val="32"/>
          <w:szCs w:val="32"/>
        </w:rPr>
        <w:t>及时调整并在市财政局门户网站公布行政事业性收费和政府性基金目录清单，让政府收费项目一目了然，提高收费透明度。</w:t>
      </w:r>
    </w:p>
    <w:p>
      <w:pPr>
        <w:spacing w:line="48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460875" cy="3475355"/>
            <wp:effectExtent l="0" t="0" r="15875"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60875" cy="3475355"/>
                    </a:xfrm>
                    <a:prstGeom prst="rect">
                      <a:avLst/>
                    </a:prstGeom>
                  </pic:spPr>
                </pic:pic>
              </a:graphicData>
            </a:graphic>
          </wp:inline>
        </w:drawing>
      </w:r>
    </w:p>
    <w:p>
      <w:pPr>
        <w:spacing w:line="480" w:lineRule="auto"/>
        <w:ind w:firstLine="640" w:firstLineChars="200"/>
        <w:rPr>
          <w:rFonts w:ascii="仿宋_GB2312" w:hAnsi="仿宋_GB2312" w:eastAsia="仿宋_GB2312" w:cs="仿宋_GB2312"/>
          <w:sz w:val="32"/>
          <w:szCs w:val="32"/>
        </w:rPr>
      </w:pPr>
    </w:p>
    <w:p>
      <w:pPr>
        <w:spacing w:line="48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3、重大建设项目和公共资源配置信息公开。</w:t>
      </w:r>
      <w:r>
        <w:rPr>
          <w:rFonts w:hint="eastAsia" w:ascii="仿宋_GB2312" w:hAnsi="仿宋_GB2312" w:eastAsia="仿宋_GB2312" w:cs="仿宋_GB2312"/>
          <w:sz w:val="32"/>
          <w:szCs w:val="32"/>
        </w:rPr>
        <w:t>对纳入年度重点工程计划的政府投资项目，在政府网站公共服务板块公布了《固定资产投资项目节能评估和审查》、《权限内企业投资项目核准》、《权限内外商投资项目核准》等公共服务事项。通过政府网站公开《关于转发&lt;山东省公共资源交易平台系统运行管理办法（试行）&gt;的通知》、《关于实施&lt;莱芜市公共资源交易中心评标（评审）专家抽取操作细则&gt;的通知》等相关政策、文件，方便群众获取相关信息。</w:t>
      </w:r>
    </w:p>
    <w:p>
      <w:pPr>
        <w:spacing w:line="480" w:lineRule="auto"/>
        <w:ind w:firstLine="640" w:firstLineChars="200"/>
        <w:rPr>
          <w:rFonts w:ascii="仿宋_GB2312" w:eastAsia="仿宋_GB2312"/>
          <w:sz w:val="32"/>
          <w:szCs w:val="32"/>
        </w:rPr>
      </w:pPr>
    </w:p>
    <w:p>
      <w:pPr>
        <w:spacing w:line="480" w:lineRule="auto"/>
        <w:ind w:firstLine="643" w:firstLineChars="200"/>
        <w:rPr>
          <w:rFonts w:ascii="仿宋_GB2312" w:eastAsia="仿宋_GB2312"/>
          <w:b/>
          <w:sz w:val="32"/>
          <w:szCs w:val="32"/>
        </w:rPr>
      </w:pPr>
      <w:r>
        <w:rPr>
          <w:rFonts w:hint="eastAsia" w:ascii="仿宋_GB2312" w:eastAsia="仿宋_GB2312"/>
          <w:b/>
          <w:sz w:val="32"/>
          <w:szCs w:val="32"/>
        </w:rPr>
        <w:drawing>
          <wp:inline distT="0" distB="0" distL="0" distR="0">
            <wp:extent cx="4933950" cy="253301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33950" cy="2533015"/>
                    </a:xfrm>
                    <a:prstGeom prst="rect">
                      <a:avLst/>
                    </a:prstGeom>
                  </pic:spPr>
                </pic:pic>
              </a:graphicData>
            </a:graphic>
          </wp:inline>
        </w:drawing>
      </w:r>
    </w:p>
    <w:p>
      <w:pPr>
        <w:spacing w:line="480" w:lineRule="auto"/>
        <w:ind w:firstLine="643" w:firstLineChars="200"/>
        <w:rPr>
          <w:rFonts w:ascii="仿宋_GB2312" w:eastAsia="仿宋_GB2312"/>
          <w:b/>
          <w:sz w:val="32"/>
          <w:szCs w:val="32"/>
        </w:rPr>
      </w:pPr>
    </w:p>
    <w:p>
      <w:pPr>
        <w:spacing w:line="48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70528" behindDoc="0" locked="0" layoutInCell="1" allowOverlap="1">
            <wp:simplePos x="0" y="0"/>
            <wp:positionH relativeFrom="column">
              <wp:posOffset>209550</wp:posOffset>
            </wp:positionH>
            <wp:positionV relativeFrom="paragraph">
              <wp:posOffset>2105025</wp:posOffset>
            </wp:positionV>
            <wp:extent cx="5172075" cy="3454400"/>
            <wp:effectExtent l="0" t="0" r="952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72075" cy="3454400"/>
                    </a:xfrm>
                    <a:prstGeom prst="rect">
                      <a:avLst/>
                    </a:prstGeom>
                  </pic:spPr>
                </pic:pic>
              </a:graphicData>
            </a:graphic>
          </wp:anchor>
        </w:drawing>
      </w:r>
      <w:r>
        <w:rPr>
          <w:rFonts w:hint="eastAsia" w:ascii="仿宋_GB2312" w:hAnsi="仿宋_GB2312" w:eastAsia="仿宋_GB2312" w:cs="仿宋_GB2312"/>
          <w:b/>
          <w:sz w:val="32"/>
          <w:szCs w:val="32"/>
        </w:rPr>
        <w:t>4、推进政府和社会资本合作(PPP)项目信息公开。</w:t>
      </w:r>
      <w:r>
        <w:rPr>
          <w:rFonts w:hint="eastAsia" w:ascii="仿宋_GB2312" w:hAnsi="仿宋_GB2312" w:eastAsia="仿宋_GB2312" w:cs="仿宋_GB2312"/>
          <w:sz w:val="32"/>
          <w:szCs w:val="32"/>
        </w:rPr>
        <w:t>在市政府网站“重点领域信息公开”栏目和市财政局门户网站开设专栏，重点公开政府和社会资本合作的相关政策、项目推介、典型案例等内容，及时将工作推进情况、项目进展情况进行公开。</w:t>
      </w:r>
    </w:p>
    <w:p>
      <w:pPr>
        <w:spacing w:line="480" w:lineRule="auto"/>
        <w:ind w:firstLine="643" w:firstLineChars="200"/>
        <w:rPr>
          <w:rFonts w:ascii="楷体_GB2312" w:hAnsi="楷体_GB2312" w:eastAsia="楷体_GB2312" w:cs="楷体_GB2312"/>
          <w:b/>
          <w:sz w:val="32"/>
          <w:szCs w:val="32"/>
        </w:rPr>
      </w:pPr>
    </w:p>
    <w:p>
      <w:pPr>
        <w:spacing w:line="480" w:lineRule="auto"/>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（二）围绕深化改革推进公开</w:t>
      </w:r>
    </w:p>
    <w:p>
      <w:pPr>
        <w:spacing w:line="48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1、推进“放管服”改革信息公开。晒出权力服务事项。</w:t>
      </w:r>
      <w:r>
        <w:rPr>
          <w:rFonts w:hint="eastAsia" w:ascii="仿宋_GB2312" w:hAnsi="仿宋_GB2312" w:eastAsia="仿宋_GB2312" w:cs="仿宋_GB2312"/>
          <w:sz w:val="32"/>
          <w:szCs w:val="32"/>
        </w:rPr>
        <w:t>深化行政许可事项目录、权责清单、公共服务事项目录公开。市区两级行政许可目录、行政权力清单、政府部门责任清单和公共服务事项目录全部在本级政府网站集中发布。编制公开了镇（街）行政权力清单和市区镇（街）公共服务事项目录，在各级政府门户网站公开。</w:t>
      </w:r>
    </w:p>
    <w:p>
      <w:pPr>
        <w:spacing w:line="48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86912" behindDoc="0" locked="0" layoutInCell="1" allowOverlap="1">
            <wp:simplePos x="0" y="0"/>
            <wp:positionH relativeFrom="column">
              <wp:posOffset>409575</wp:posOffset>
            </wp:positionH>
            <wp:positionV relativeFrom="paragraph">
              <wp:posOffset>40005</wp:posOffset>
            </wp:positionV>
            <wp:extent cx="4324350" cy="4476750"/>
            <wp:effectExtent l="0" t="0" r="0" b="63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324350" cy="4476553"/>
                    </a:xfrm>
                    <a:prstGeom prst="rect">
                      <a:avLst/>
                    </a:prstGeom>
                  </pic:spPr>
                </pic:pic>
              </a:graphicData>
            </a:graphic>
          </wp:anchor>
        </w:drawing>
      </w:r>
    </w:p>
    <w:p>
      <w:pPr>
        <w:spacing w:line="480" w:lineRule="auto"/>
        <w:ind w:firstLine="640" w:firstLineChars="200"/>
        <w:rPr>
          <w:rFonts w:ascii="仿宋_GB2312" w:hAnsi="仿宋_GB2312" w:eastAsia="仿宋_GB2312" w:cs="仿宋_GB2312"/>
          <w:sz w:val="32"/>
          <w:szCs w:val="32"/>
        </w:rPr>
      </w:pPr>
    </w:p>
    <w:p>
      <w:pPr>
        <w:spacing w:line="480" w:lineRule="auto"/>
        <w:ind w:firstLine="643" w:firstLineChars="200"/>
        <w:rPr>
          <w:rFonts w:ascii="仿宋_GB2312" w:hAnsi="仿宋_GB2312" w:eastAsia="仿宋_GB2312" w:cs="仿宋_GB2312"/>
          <w:b/>
          <w:sz w:val="32"/>
          <w:szCs w:val="32"/>
        </w:rPr>
      </w:pPr>
    </w:p>
    <w:p>
      <w:pPr>
        <w:spacing w:line="480" w:lineRule="auto"/>
        <w:ind w:firstLine="643" w:firstLineChars="200"/>
        <w:rPr>
          <w:rFonts w:ascii="仿宋_GB2312" w:hAnsi="仿宋_GB2312" w:eastAsia="仿宋_GB2312" w:cs="仿宋_GB2312"/>
          <w:b/>
          <w:sz w:val="32"/>
          <w:szCs w:val="32"/>
        </w:rPr>
      </w:pPr>
    </w:p>
    <w:p>
      <w:pPr>
        <w:spacing w:line="480" w:lineRule="auto"/>
        <w:ind w:firstLine="643" w:firstLineChars="200"/>
        <w:rPr>
          <w:rFonts w:ascii="仿宋_GB2312" w:hAnsi="仿宋_GB2312" w:eastAsia="仿宋_GB2312" w:cs="仿宋_GB2312"/>
          <w:b/>
          <w:sz w:val="32"/>
          <w:szCs w:val="32"/>
        </w:rPr>
      </w:pPr>
    </w:p>
    <w:p>
      <w:pPr>
        <w:spacing w:line="480" w:lineRule="auto"/>
        <w:ind w:firstLine="643" w:firstLineChars="200"/>
        <w:rPr>
          <w:rFonts w:ascii="仿宋_GB2312" w:hAnsi="仿宋_GB2312" w:eastAsia="仿宋_GB2312" w:cs="仿宋_GB2312"/>
          <w:b/>
          <w:sz w:val="32"/>
          <w:szCs w:val="32"/>
        </w:rPr>
      </w:pPr>
    </w:p>
    <w:p>
      <w:pPr>
        <w:spacing w:line="480" w:lineRule="auto"/>
        <w:ind w:firstLine="643" w:firstLineChars="200"/>
        <w:rPr>
          <w:rFonts w:ascii="仿宋_GB2312" w:hAnsi="仿宋_GB2312" w:eastAsia="仿宋_GB2312" w:cs="仿宋_GB2312"/>
          <w:b/>
          <w:sz w:val="32"/>
          <w:szCs w:val="32"/>
        </w:rPr>
      </w:pPr>
    </w:p>
    <w:p>
      <w:pPr>
        <w:spacing w:line="480" w:lineRule="auto"/>
        <w:ind w:firstLine="643" w:firstLineChars="200"/>
        <w:rPr>
          <w:rFonts w:ascii="仿宋_GB2312" w:hAnsi="仿宋_GB2312" w:eastAsia="仿宋_GB2312" w:cs="仿宋_GB2312"/>
          <w:b/>
          <w:sz w:val="32"/>
          <w:szCs w:val="32"/>
        </w:rPr>
      </w:pPr>
    </w:p>
    <w:p>
      <w:pPr>
        <w:spacing w:line="480" w:lineRule="auto"/>
        <w:ind w:firstLine="643" w:firstLineChars="200"/>
        <w:rPr>
          <w:rFonts w:ascii="仿宋_GB2312" w:hAnsi="仿宋_GB2312" w:eastAsia="仿宋_GB2312" w:cs="仿宋_GB2312"/>
          <w:b/>
          <w:sz w:val="32"/>
          <w:szCs w:val="32"/>
        </w:rPr>
      </w:pPr>
    </w:p>
    <w:p>
      <w:pPr>
        <w:spacing w:line="480" w:lineRule="auto"/>
        <w:ind w:firstLine="643" w:firstLineChars="200"/>
        <w:rPr>
          <w:rFonts w:ascii="仿宋_GB2312" w:hAnsi="仿宋_GB2312" w:eastAsia="仿宋_GB2312" w:cs="仿宋_GB2312"/>
          <w:b/>
          <w:sz w:val="32"/>
          <w:szCs w:val="32"/>
        </w:rPr>
      </w:pPr>
    </w:p>
    <w:p>
      <w:pPr>
        <w:spacing w:line="480" w:lineRule="auto"/>
        <w:ind w:firstLine="643" w:firstLineChars="200"/>
        <w:rPr>
          <w:rFonts w:ascii="仿宋_GB2312" w:hAnsi="仿宋_GB2312" w:eastAsia="仿宋_GB2312" w:cs="仿宋_GB2312"/>
          <w:b/>
          <w:sz w:val="32"/>
          <w:szCs w:val="32"/>
        </w:rPr>
      </w:pPr>
    </w:p>
    <w:p>
      <w:pPr>
        <w:spacing w:line="480" w:lineRule="auto"/>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规范性文件清理备案。</w:t>
      </w:r>
      <w:r>
        <w:rPr>
          <w:rFonts w:hint="eastAsia" w:ascii="仿宋_GB2312" w:hAnsi="仿宋_GB2312" w:eastAsia="仿宋_GB2312" w:cs="仿宋_GB2312"/>
          <w:sz w:val="32"/>
          <w:szCs w:val="32"/>
        </w:rPr>
        <w:t>认真落实《莱芜市人民政府规范性文件制定程序规定》和规范性文件“三统一”制度，加强规范性文件的审查，审查市级规范性文件13件，不符合“三统一”要求退回3件，“三统一”10件，在政府网站统一公布实施。坚持“立改废”相结合的原则，重点对涉及“放管服”改革、生态文明建设和环境保护的规范性文件进行清理，累计清理规范性文件854件，其中废止744件，修改3件。</w:t>
      </w:r>
    </w:p>
    <w:p>
      <w:pPr>
        <w:spacing w:line="480" w:lineRule="auto"/>
        <w:ind w:firstLine="643" w:firstLineChars="200"/>
        <w:rPr>
          <w:rFonts w:ascii="仿宋_GB2312" w:eastAsia="仿宋_GB2312"/>
          <w:sz w:val="32"/>
          <w:szCs w:val="32"/>
        </w:rPr>
      </w:pPr>
      <w:r>
        <w:rPr>
          <w:rFonts w:hint="eastAsia" w:ascii="仿宋_GB2312" w:hAnsi="仿宋_GB2312" w:eastAsia="仿宋_GB2312" w:cs="仿宋_GB2312"/>
          <w:b/>
          <w:sz w:val="32"/>
          <w:szCs w:val="32"/>
        </w:rPr>
        <w:t>推进“双随机、一公开”监管。</w:t>
      </w:r>
      <w:r>
        <w:rPr>
          <w:rFonts w:hint="eastAsia" w:ascii="仿宋_GB2312" w:hAnsi="仿宋_GB2312" w:eastAsia="仿宋_GB2312" w:cs="仿宋_GB2312"/>
          <w:sz w:val="32"/>
          <w:szCs w:val="32"/>
        </w:rPr>
        <w:t>市区两级政府汇总公开本级随机抽查事项清单，在各级政府门户网站公开发布，</w:t>
      </w:r>
      <w:r>
        <w:rPr>
          <w:rFonts w:hint="eastAsia" w:ascii="仿宋_GB2312" w:eastAsia="仿宋_GB2312"/>
          <w:sz w:val="32"/>
          <w:szCs w:val="32"/>
        </w:rPr>
        <w:t>所含要素包括抽查事项、抽查对象、抽查内容、抽查依据、抽查方式、抽查比例和频次等。加强抽查结果公开，在市政府及部门网站公布产品质量、食品药品、安全生产等方面的监管、抽查方式、时间、范围和抽检结果。在“信用山东”网站公示行政处罚、行政许可抽检检查等信息。</w:t>
      </w:r>
    </w:p>
    <w:p>
      <w:pPr>
        <w:spacing w:line="48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87936" behindDoc="0" locked="0" layoutInCell="1" allowOverlap="1">
            <wp:simplePos x="0" y="0"/>
            <wp:positionH relativeFrom="column">
              <wp:posOffset>600075</wp:posOffset>
            </wp:positionH>
            <wp:positionV relativeFrom="paragraph">
              <wp:posOffset>9525</wp:posOffset>
            </wp:positionV>
            <wp:extent cx="3894455" cy="4600575"/>
            <wp:effectExtent l="0" t="0" r="0" b="952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894455" cy="4600575"/>
                    </a:xfrm>
                    <a:prstGeom prst="rect">
                      <a:avLst/>
                    </a:prstGeom>
                  </pic:spPr>
                </pic:pic>
              </a:graphicData>
            </a:graphic>
          </wp:anchor>
        </w:drawing>
      </w:r>
    </w:p>
    <w:p>
      <w:pPr>
        <w:spacing w:line="480" w:lineRule="auto"/>
        <w:ind w:firstLine="640" w:firstLineChars="200"/>
        <w:rPr>
          <w:rFonts w:ascii="仿宋_GB2312" w:hAnsi="仿宋_GB2312" w:eastAsia="仿宋_GB2312" w:cs="仿宋_GB2312"/>
          <w:sz w:val="32"/>
          <w:szCs w:val="32"/>
        </w:rPr>
      </w:pPr>
    </w:p>
    <w:p>
      <w:pPr>
        <w:pStyle w:val="6"/>
        <w:widowControl/>
        <w:spacing w:beforeAutospacing="0" w:afterAutospacing="0" w:line="480" w:lineRule="auto"/>
        <w:ind w:firstLine="643" w:firstLineChars="200"/>
        <w:jc w:val="both"/>
        <w:rPr>
          <w:rFonts w:ascii="仿宋_GB2312" w:eastAsia="仿宋_GB2312"/>
          <w:b/>
          <w:sz w:val="32"/>
          <w:szCs w:val="32"/>
        </w:rPr>
      </w:pPr>
    </w:p>
    <w:p>
      <w:pPr>
        <w:pStyle w:val="6"/>
        <w:widowControl/>
        <w:spacing w:beforeAutospacing="0" w:afterAutospacing="0" w:line="480" w:lineRule="auto"/>
        <w:ind w:firstLine="643" w:firstLineChars="200"/>
        <w:jc w:val="both"/>
        <w:rPr>
          <w:rFonts w:ascii="仿宋_GB2312" w:eastAsia="仿宋_GB2312"/>
          <w:b/>
          <w:sz w:val="32"/>
          <w:szCs w:val="32"/>
        </w:rPr>
      </w:pPr>
    </w:p>
    <w:p>
      <w:pPr>
        <w:pStyle w:val="6"/>
        <w:widowControl/>
        <w:spacing w:beforeAutospacing="0" w:afterAutospacing="0" w:line="480" w:lineRule="auto"/>
        <w:ind w:firstLine="643" w:firstLineChars="200"/>
        <w:jc w:val="both"/>
        <w:rPr>
          <w:rFonts w:ascii="仿宋_GB2312" w:eastAsia="仿宋_GB2312"/>
          <w:b/>
          <w:sz w:val="32"/>
          <w:szCs w:val="32"/>
        </w:rPr>
      </w:pPr>
    </w:p>
    <w:p>
      <w:pPr>
        <w:pStyle w:val="6"/>
        <w:widowControl/>
        <w:spacing w:beforeAutospacing="0" w:afterAutospacing="0" w:line="480" w:lineRule="auto"/>
        <w:ind w:firstLine="643" w:firstLineChars="200"/>
        <w:jc w:val="both"/>
        <w:rPr>
          <w:rFonts w:ascii="仿宋_GB2312" w:eastAsia="仿宋_GB2312"/>
          <w:b/>
          <w:sz w:val="32"/>
          <w:szCs w:val="32"/>
        </w:rPr>
      </w:pPr>
    </w:p>
    <w:p>
      <w:pPr>
        <w:pStyle w:val="6"/>
        <w:widowControl/>
        <w:spacing w:beforeAutospacing="0" w:afterAutospacing="0" w:line="480" w:lineRule="auto"/>
        <w:ind w:firstLine="643" w:firstLineChars="200"/>
        <w:jc w:val="both"/>
        <w:rPr>
          <w:rFonts w:ascii="仿宋_GB2312" w:eastAsia="仿宋_GB2312"/>
          <w:b/>
          <w:sz w:val="32"/>
          <w:szCs w:val="32"/>
        </w:rPr>
      </w:pPr>
    </w:p>
    <w:p>
      <w:pPr>
        <w:pStyle w:val="6"/>
        <w:widowControl/>
        <w:spacing w:beforeAutospacing="0" w:afterAutospacing="0" w:line="480" w:lineRule="auto"/>
        <w:ind w:firstLine="643" w:firstLineChars="200"/>
        <w:jc w:val="both"/>
        <w:rPr>
          <w:rFonts w:ascii="仿宋_GB2312" w:eastAsia="仿宋_GB2312"/>
          <w:b/>
          <w:sz w:val="32"/>
          <w:szCs w:val="32"/>
        </w:rPr>
      </w:pPr>
    </w:p>
    <w:p>
      <w:pPr>
        <w:pStyle w:val="6"/>
        <w:widowControl/>
        <w:spacing w:beforeAutospacing="0" w:afterAutospacing="0" w:line="480" w:lineRule="auto"/>
        <w:ind w:firstLine="643" w:firstLineChars="200"/>
        <w:jc w:val="both"/>
        <w:rPr>
          <w:rFonts w:ascii="仿宋_GB2312" w:eastAsia="仿宋_GB2312"/>
          <w:b/>
          <w:sz w:val="32"/>
          <w:szCs w:val="32"/>
        </w:rPr>
      </w:pPr>
    </w:p>
    <w:p>
      <w:pPr>
        <w:pStyle w:val="6"/>
        <w:widowControl/>
        <w:spacing w:beforeAutospacing="0" w:afterAutospacing="0" w:line="480" w:lineRule="auto"/>
        <w:ind w:firstLine="643" w:firstLineChars="200"/>
        <w:jc w:val="both"/>
        <w:rPr>
          <w:rFonts w:ascii="仿宋_GB2312" w:eastAsia="仿宋_GB2312"/>
          <w:b/>
          <w:sz w:val="32"/>
          <w:szCs w:val="32"/>
        </w:rPr>
      </w:pPr>
    </w:p>
    <w:p>
      <w:pPr>
        <w:pStyle w:val="6"/>
        <w:widowControl/>
        <w:spacing w:beforeAutospacing="0" w:afterAutospacing="0" w:line="480" w:lineRule="auto"/>
        <w:ind w:firstLine="643" w:firstLineChars="200"/>
        <w:jc w:val="both"/>
        <w:rPr>
          <w:rFonts w:ascii="仿宋_GB2312" w:eastAsia="仿宋_GB2312"/>
          <w:b/>
          <w:sz w:val="32"/>
          <w:szCs w:val="32"/>
        </w:rPr>
      </w:pPr>
    </w:p>
    <w:p>
      <w:pPr>
        <w:pStyle w:val="6"/>
        <w:widowControl/>
        <w:spacing w:beforeAutospacing="0" w:afterAutospacing="0" w:line="480" w:lineRule="auto"/>
        <w:ind w:firstLine="643" w:firstLineChars="200"/>
        <w:jc w:val="both"/>
        <w:rPr>
          <w:rFonts w:ascii="仿宋_GB2312" w:eastAsia="仿宋_GB2312"/>
          <w:sz w:val="32"/>
          <w:szCs w:val="32"/>
        </w:rPr>
      </w:pPr>
      <w:r>
        <w:rPr>
          <w:rFonts w:hint="eastAsia" w:ascii="仿宋_GB2312" w:eastAsia="仿宋_GB2312"/>
          <w:b/>
          <w:sz w:val="32"/>
          <w:szCs w:val="32"/>
        </w:rPr>
        <w:t>推进“互联网+政务服务”。</w:t>
      </w:r>
      <w:r>
        <w:rPr>
          <w:rFonts w:hint="eastAsia" w:ascii="仿宋_GB2312" w:eastAsia="仿宋_GB2312"/>
          <w:sz w:val="32"/>
          <w:szCs w:val="32"/>
        </w:rPr>
        <w:t>完善提升全市网上政务服务平台，补充完善网上政务大厅中公共服务事项和服务指南相关资料，引导公民、法人使用网上政务服务平台办理相关业务。在政府网站设立“公共服务”专栏，公开居民办事、企业经营等相关公共服务信息，明确各类办事程序和具体要求，方便社会公众办事。设置“便民查询”专栏，集中公示违章查询、水电煤气、住房公积金等百姓热点关注的信息。</w:t>
      </w:r>
    </w:p>
    <w:p>
      <w:pPr>
        <w:pStyle w:val="6"/>
        <w:widowControl/>
        <w:spacing w:beforeAutospacing="0" w:afterAutospacing="0" w:line="480" w:lineRule="auto"/>
        <w:ind w:firstLine="640" w:firstLineChars="200"/>
        <w:jc w:val="both"/>
        <w:rPr>
          <w:rFonts w:ascii="仿宋_GB2312" w:hAnsi="黑体" w:eastAsia="仿宋_GB2312" w:cs="黑体"/>
          <w:kern w:val="2"/>
          <w:sz w:val="32"/>
          <w:szCs w:val="32"/>
          <w:u w:val="single"/>
        </w:rPr>
      </w:pPr>
      <w:r>
        <w:rPr>
          <w:rFonts w:hint="eastAsia" w:ascii="仿宋_GB2312" w:hAnsi="黑体" w:eastAsia="仿宋_GB2312" w:cs="黑体"/>
          <w:kern w:val="2"/>
          <w:sz w:val="32"/>
          <w:szCs w:val="32"/>
          <w:u w:val="single"/>
        </w:rPr>
        <w:drawing>
          <wp:inline distT="0" distB="0" distL="0" distR="0">
            <wp:extent cx="4907915" cy="3329305"/>
            <wp:effectExtent l="0" t="0" r="698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923897" cy="3340344"/>
                    </a:xfrm>
                    <a:prstGeom prst="rect">
                      <a:avLst/>
                    </a:prstGeom>
                  </pic:spPr>
                </pic:pic>
              </a:graphicData>
            </a:graphic>
          </wp:inline>
        </w:drawing>
      </w:r>
    </w:p>
    <w:p>
      <w:pPr>
        <w:spacing w:line="480" w:lineRule="auto"/>
        <w:rPr>
          <w:rFonts w:ascii="仿宋_GB2312" w:eastAsia="仿宋_GB2312"/>
          <w:b/>
          <w:sz w:val="32"/>
          <w:szCs w:val="32"/>
        </w:rPr>
      </w:pPr>
    </w:p>
    <w:p>
      <w:pPr>
        <w:spacing w:line="480" w:lineRule="auto"/>
        <w:ind w:firstLine="643" w:firstLineChars="200"/>
        <w:rPr>
          <w:rFonts w:ascii="仿宋_GB2312" w:eastAsia="仿宋_GB2312"/>
          <w:color w:val="000000"/>
          <w:sz w:val="32"/>
          <w:szCs w:val="32"/>
        </w:rPr>
      </w:pPr>
      <w:r>
        <w:rPr>
          <w:rFonts w:hint="eastAsia" w:ascii="仿宋_GB2312" w:eastAsia="仿宋_GB2312"/>
          <w:b/>
          <w:sz w:val="32"/>
          <w:szCs w:val="32"/>
        </w:rPr>
        <w:t>2、国资国企信息公开。</w:t>
      </w:r>
      <w:r>
        <w:rPr>
          <w:rFonts w:hint="eastAsia" w:ascii="仿宋_GB2312" w:eastAsia="仿宋_GB2312"/>
          <w:sz w:val="32"/>
          <w:szCs w:val="32"/>
        </w:rPr>
        <w:t>出台</w:t>
      </w:r>
      <w:r>
        <w:rPr>
          <w:rFonts w:hint="eastAsia" w:ascii="仿宋_GB2312" w:eastAsia="仿宋_GB2312"/>
          <w:color w:val="000000"/>
          <w:sz w:val="32"/>
          <w:szCs w:val="32"/>
        </w:rPr>
        <w:t>国资监管相关政策，市管国有企业改革发展阶段性工作规划、国有经济布局结构调整规划、市管国有企业人才队伍建设及改革等方面的规划，市管国有企业上报的审批备案申请事项名称、依据、填报说明、填报模板，市国资委机关及市管国有企业负责人人事任免事项，以及市国资委职责范围内依法应当公开的其他信息等都在市政府网站政务公开专栏和部门网站进行公开。</w:t>
      </w:r>
    </w:p>
    <w:p>
      <w:pPr>
        <w:spacing w:line="480" w:lineRule="auto"/>
        <w:ind w:left="420" w:leftChars="200"/>
        <w:rPr>
          <w:rFonts w:ascii="仿宋_GB2312" w:eastAsia="仿宋_GB2312"/>
          <w:color w:val="000000"/>
          <w:sz w:val="32"/>
          <w:szCs w:val="32"/>
        </w:rPr>
      </w:pPr>
    </w:p>
    <w:p>
      <w:pPr>
        <w:spacing w:line="480" w:lineRule="auto"/>
        <w:ind w:firstLine="640" w:firstLineChars="200"/>
        <w:rPr>
          <w:rFonts w:ascii="仿宋_GB2312" w:eastAsia="仿宋_GB2312"/>
          <w:color w:val="000000"/>
          <w:sz w:val="32"/>
          <w:szCs w:val="32"/>
        </w:rPr>
      </w:pPr>
      <w:r>
        <w:rPr>
          <w:rFonts w:hint="eastAsia" w:ascii="仿宋_GB2312" w:eastAsia="仿宋_GB2312"/>
          <w:color w:val="000000"/>
          <w:sz w:val="32"/>
          <w:szCs w:val="32"/>
        </w:rPr>
        <w:drawing>
          <wp:inline distT="0" distB="0" distL="0" distR="0">
            <wp:extent cx="4744085" cy="3583305"/>
            <wp:effectExtent l="0" t="0" r="18415" b="171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48578" cy="3586601"/>
                    </a:xfrm>
                    <a:prstGeom prst="rect">
                      <a:avLst/>
                    </a:prstGeom>
                  </pic:spPr>
                </pic:pic>
              </a:graphicData>
            </a:graphic>
          </wp:inline>
        </w:drawing>
      </w:r>
    </w:p>
    <w:p>
      <w:pPr>
        <w:spacing w:line="480" w:lineRule="auto"/>
        <w:rPr>
          <w:rFonts w:ascii="仿宋_GB2312" w:eastAsia="仿宋_GB2312"/>
          <w:b/>
          <w:sz w:val="32"/>
          <w:szCs w:val="32"/>
        </w:rPr>
      </w:pPr>
    </w:p>
    <w:p>
      <w:pPr>
        <w:spacing w:line="480" w:lineRule="auto"/>
        <w:ind w:firstLine="643" w:firstLineChars="200"/>
        <w:rPr>
          <w:rFonts w:ascii="仿宋_GB2312" w:hAnsi="仿宋_GB2312" w:eastAsia="仿宋_GB2312" w:cs="仿宋_GB2312"/>
          <w:sz w:val="32"/>
          <w:szCs w:val="32"/>
        </w:rPr>
      </w:pPr>
      <w:r>
        <w:rPr>
          <w:rFonts w:hint="eastAsia" w:ascii="仿宋_GB2312" w:eastAsia="仿宋_GB2312"/>
          <w:b/>
          <w:sz w:val="32"/>
          <w:szCs w:val="32"/>
        </w:rPr>
        <w:t>3、农业供给侧结构性改革信息公开。</w:t>
      </w:r>
      <w:r>
        <w:rPr>
          <w:rFonts w:hint="eastAsia" w:ascii="仿宋_GB2312" w:eastAsia="仿宋_GB2312"/>
          <w:sz w:val="32"/>
          <w:szCs w:val="32"/>
        </w:rPr>
        <w:t>对“三权分置”、农业精准扶贫、《农药管理条例》、《农药登记管理办法》等政策及解读材料及时在网站公开，方便群众了解和查询有关信息。</w:t>
      </w:r>
      <w:r>
        <w:rPr>
          <w:rFonts w:hint="eastAsia" w:ascii="仿宋_GB2312" w:hAnsi="仿宋_GB2312" w:eastAsia="仿宋_GB2312" w:cs="仿宋_GB2312"/>
          <w:sz w:val="32"/>
          <w:szCs w:val="32"/>
        </w:rPr>
        <w:t>围绕强农惠农政策落实、农村集体产权制度改革、土地流转、农业创业创新等民众关切的热点问题，督促各级及时公布进展情况和完成情况。通过举办专题培训班、编印操作手册、加强媒体宣传等方式，真正让农民看得懂、听得懂、参与得进来。</w:t>
      </w:r>
    </w:p>
    <w:p>
      <w:pPr>
        <w:spacing w:line="48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399280" cy="369697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402689" cy="3699688"/>
                    </a:xfrm>
                    <a:prstGeom prst="rect">
                      <a:avLst/>
                    </a:prstGeom>
                  </pic:spPr>
                </pic:pic>
              </a:graphicData>
            </a:graphic>
          </wp:inline>
        </w:drawing>
      </w:r>
    </w:p>
    <w:p>
      <w:pPr>
        <w:spacing w:line="480" w:lineRule="auto"/>
        <w:ind w:firstLine="643" w:firstLineChars="200"/>
        <w:rPr>
          <w:rFonts w:ascii="仿宋_GB2312" w:eastAsia="仿宋_GB2312"/>
          <w:b/>
          <w:sz w:val="32"/>
          <w:szCs w:val="32"/>
        </w:rPr>
      </w:pPr>
    </w:p>
    <w:p>
      <w:pPr>
        <w:numPr>
          <w:ilvl w:val="0"/>
          <w:numId w:val="1"/>
        </w:numPr>
        <w:spacing w:line="480" w:lineRule="auto"/>
        <w:ind w:firstLine="643" w:firstLineChars="200"/>
        <w:rPr>
          <w:rFonts w:ascii="仿宋_GB2312" w:eastAsia="仿宋_GB2312"/>
          <w:sz w:val="32"/>
          <w:szCs w:val="32"/>
        </w:rPr>
      </w:pPr>
      <w:r>
        <w:rPr>
          <w:rFonts w:hint="eastAsia" w:ascii="仿宋_GB2312" w:eastAsia="仿宋_GB2312"/>
          <w:b/>
          <w:sz w:val="32"/>
          <w:szCs w:val="32"/>
        </w:rPr>
        <w:t>推进财税体制改革信息公开。</w:t>
      </w:r>
      <w:r>
        <w:rPr>
          <w:rFonts w:hint="eastAsia" w:ascii="仿宋_GB2312" w:eastAsia="仿宋_GB2312"/>
          <w:sz w:val="32"/>
          <w:szCs w:val="32"/>
        </w:rPr>
        <w:t>稳妥推进财税体制改革，理顺市以下财政体制，合理划分财政事权和支出责任，推进预算绩效管理，开展水资源税、环境保护税改革，扎实推进国地税联合办税，建设一批联合自助办税服务网点，为纳税人提供更多便利。</w:t>
      </w:r>
    </w:p>
    <w:p>
      <w:pPr>
        <w:spacing w:line="480" w:lineRule="auto"/>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（三）围绕结构调整推进公开</w:t>
      </w:r>
    </w:p>
    <w:p>
      <w:pPr>
        <w:pStyle w:val="6"/>
        <w:widowControl/>
        <w:spacing w:beforeAutospacing="0" w:afterAutospacing="0" w:line="480" w:lineRule="auto"/>
        <w:ind w:firstLine="643" w:firstLineChars="200"/>
        <w:jc w:val="both"/>
        <w:rPr>
          <w:rFonts w:ascii="仿宋_GB2312" w:eastAsia="仿宋_GB2312" w:cstheme="minorBidi"/>
          <w:kern w:val="2"/>
          <w:sz w:val="32"/>
          <w:szCs w:val="32"/>
        </w:rPr>
      </w:pPr>
      <w:r>
        <w:rPr>
          <w:rFonts w:hint="eastAsia" w:ascii="仿宋_GB2312" w:eastAsia="仿宋_GB2312" w:cstheme="minorBidi"/>
          <w:b/>
          <w:kern w:val="2"/>
          <w:sz w:val="32"/>
          <w:szCs w:val="32"/>
        </w:rPr>
        <w:t>1、新旧动能转换工作信息公开。</w:t>
      </w:r>
      <w:r>
        <w:rPr>
          <w:rFonts w:hint="eastAsia" w:ascii="仿宋_GB2312" w:eastAsia="仿宋_GB2312" w:cstheme="minorBidi"/>
          <w:kern w:val="2"/>
          <w:sz w:val="32"/>
          <w:szCs w:val="32"/>
        </w:rPr>
        <w:t>编制新旧动能转换实施方案，定期编发《新旧动能转换重大工程工作简报》。出台《关于实施重点企业“三扶”培植计划的意见》、《莱芜市“十三五”科学技术创新发展规划》、《莱芜市科技“小巨人”企业创新能力培育扶持办法》、《莱芜市天使投资基金管理办法》等文件，均在市政府和部门网站公布。</w:t>
      </w:r>
    </w:p>
    <w:p>
      <w:pPr>
        <w:pStyle w:val="6"/>
        <w:widowControl/>
        <w:spacing w:beforeAutospacing="0" w:afterAutospacing="0" w:line="480" w:lineRule="auto"/>
        <w:ind w:firstLine="643" w:firstLineChars="200"/>
        <w:jc w:val="both"/>
        <w:rPr>
          <w:rFonts w:ascii="仿宋_GB2312" w:eastAsia="仿宋_GB2312" w:cstheme="minorBidi"/>
          <w:kern w:val="2"/>
          <w:sz w:val="32"/>
          <w:szCs w:val="32"/>
          <w:u w:val="single"/>
        </w:rPr>
      </w:pPr>
      <w:r>
        <w:rPr>
          <w:rFonts w:hint="eastAsia" w:ascii="仿宋_GB2312" w:eastAsia="仿宋_GB2312"/>
          <w:b/>
          <w:sz w:val="32"/>
          <w:szCs w:val="32"/>
        </w:rPr>
        <w:drawing>
          <wp:anchor distT="0" distB="0" distL="0" distR="0" simplePos="0" relativeHeight="251685888" behindDoc="0" locked="0" layoutInCell="1" allowOverlap="1">
            <wp:simplePos x="0" y="0"/>
            <wp:positionH relativeFrom="column">
              <wp:posOffset>285115</wp:posOffset>
            </wp:positionH>
            <wp:positionV relativeFrom="paragraph">
              <wp:posOffset>219075</wp:posOffset>
            </wp:positionV>
            <wp:extent cx="4657725" cy="4516755"/>
            <wp:effectExtent l="0" t="0" r="9525" b="1714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662614" cy="4521179"/>
                    </a:xfrm>
                    <a:prstGeom prst="rect">
                      <a:avLst/>
                    </a:prstGeom>
                  </pic:spPr>
                </pic:pic>
              </a:graphicData>
            </a:graphic>
          </wp:anchor>
        </w:drawing>
      </w:r>
    </w:p>
    <w:p>
      <w:pPr>
        <w:pStyle w:val="6"/>
        <w:widowControl/>
        <w:spacing w:beforeAutospacing="0" w:afterAutospacing="0" w:line="480" w:lineRule="auto"/>
        <w:ind w:firstLine="643" w:firstLineChars="200"/>
        <w:jc w:val="both"/>
        <w:rPr>
          <w:rFonts w:ascii="仿宋_GB2312" w:hAnsi="仿宋" w:eastAsia="仿宋_GB2312" w:cs="仿宋"/>
          <w:sz w:val="32"/>
          <w:szCs w:val="32"/>
        </w:rPr>
      </w:pPr>
      <w:r>
        <w:rPr>
          <w:rFonts w:hint="eastAsia" w:ascii="仿宋_GB2312" w:eastAsia="仿宋_GB2312"/>
          <w:b/>
          <w:sz w:val="32"/>
          <w:szCs w:val="32"/>
        </w:rPr>
        <w:t xml:space="preserve"> 2、化解过剩产能工作信息公开。</w:t>
      </w:r>
      <w:r>
        <w:rPr>
          <w:rFonts w:hint="eastAsia" w:ascii="仿宋_GB2312" w:hAnsi="仿宋" w:eastAsia="仿宋_GB2312" w:cs="仿宋"/>
          <w:sz w:val="32"/>
          <w:szCs w:val="32"/>
        </w:rPr>
        <w:t>我市化解过剩产能任务为粗钢124万吨，其中山东泰山钢铁集团有限公司需退出58万吨，山东富伦钢铁集团有限公司需退出</w:t>
      </w:r>
      <w:r>
        <w:rPr>
          <w:rFonts w:ascii="仿宋_GB2312" w:hAnsi="仿宋" w:eastAsia="仿宋_GB2312" w:cs="仿宋"/>
          <w:sz w:val="32"/>
          <w:szCs w:val="32"/>
        </w:rPr>
        <w:t>66</w:t>
      </w:r>
      <w:r>
        <w:rPr>
          <w:rFonts w:hint="eastAsia" w:ascii="仿宋_GB2312" w:hAnsi="仿宋" w:eastAsia="仿宋_GB2312" w:cs="仿宋"/>
          <w:sz w:val="32"/>
          <w:szCs w:val="32"/>
        </w:rPr>
        <w:t>万吨。出台《莱芜市钢铁去产能工作方案》，工作组每两天到现场进行指导，定期调度工作进展。11月16日，通过国家抽查验收组验收。相关情况在市政府网站重点领域信息公开和经信部门网站公开。</w:t>
      </w:r>
    </w:p>
    <w:p>
      <w:pPr>
        <w:pStyle w:val="6"/>
        <w:widowControl/>
        <w:spacing w:beforeAutospacing="0" w:afterAutospacing="0" w:line="480" w:lineRule="auto"/>
        <w:jc w:val="center"/>
        <w:rPr>
          <w:rFonts w:ascii="仿宋_GB2312" w:hAnsi="仿宋" w:eastAsia="仿宋_GB2312"/>
          <w:color w:val="000000"/>
          <w:sz w:val="32"/>
          <w:szCs w:val="32"/>
        </w:rPr>
      </w:pPr>
      <w:r>
        <w:rPr>
          <w:rFonts w:hint="eastAsia" w:ascii="仿宋_GB2312" w:hAnsi="仿宋" w:eastAsia="仿宋_GB2312"/>
          <w:color w:val="000000"/>
          <w:sz w:val="32"/>
          <w:szCs w:val="32"/>
        </w:rPr>
        <w:drawing>
          <wp:inline distT="0" distB="0" distL="0" distR="0">
            <wp:extent cx="4994910" cy="295021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44021" cy="2978843"/>
                    </a:xfrm>
                    <a:prstGeom prst="rect">
                      <a:avLst/>
                    </a:prstGeom>
                  </pic:spPr>
                </pic:pic>
              </a:graphicData>
            </a:graphic>
          </wp:inline>
        </w:drawing>
      </w:r>
    </w:p>
    <w:p>
      <w:pPr>
        <w:pStyle w:val="6"/>
        <w:shd w:val="clear" w:color="auto" w:fill="FFFFFF"/>
        <w:spacing w:beforeAutospacing="0" w:afterAutospacing="0" w:line="480" w:lineRule="auto"/>
        <w:ind w:firstLine="643" w:firstLineChars="200"/>
        <w:jc w:val="both"/>
        <w:rPr>
          <w:rFonts w:ascii="仿宋_GB2312" w:eastAsia="仿宋_GB2312"/>
          <w:b/>
          <w:sz w:val="32"/>
          <w:szCs w:val="32"/>
        </w:rPr>
      </w:pPr>
    </w:p>
    <w:p>
      <w:pPr>
        <w:pStyle w:val="6"/>
        <w:shd w:val="clear" w:color="auto" w:fill="FFFFFF"/>
        <w:spacing w:beforeAutospacing="0" w:afterAutospacing="0" w:line="480" w:lineRule="auto"/>
        <w:ind w:firstLine="643" w:firstLineChars="200"/>
        <w:jc w:val="both"/>
        <w:rPr>
          <w:rFonts w:ascii="仿宋_GB2312" w:eastAsia="仿宋_GB2312"/>
          <w:color w:val="2B2B2B"/>
          <w:sz w:val="32"/>
          <w:szCs w:val="32"/>
        </w:rPr>
      </w:pPr>
      <w:r>
        <w:rPr>
          <w:rFonts w:hint="eastAsia" w:ascii="仿宋_GB2312" w:eastAsia="仿宋_GB2312"/>
          <w:b/>
          <w:sz w:val="32"/>
          <w:szCs w:val="32"/>
        </w:rPr>
        <w:t>3、消费升级和产品质量提升工作信息公开。</w:t>
      </w:r>
      <w:r>
        <w:rPr>
          <w:rFonts w:hint="eastAsia" w:ascii="仿宋_GB2312" w:eastAsia="仿宋_GB2312"/>
          <w:color w:val="2B2B2B"/>
          <w:sz w:val="32"/>
          <w:szCs w:val="32"/>
        </w:rPr>
        <w:t>市商务局</w:t>
      </w:r>
      <w:r>
        <w:rPr>
          <w:rFonts w:hint="eastAsia" w:ascii="仿宋_GB2312" w:hAnsi="Arial" w:eastAsia="仿宋_GB2312" w:cs="Arial"/>
          <w:color w:val="333333"/>
          <w:sz w:val="32"/>
          <w:szCs w:val="32"/>
        </w:rPr>
        <w:t>每月公开各项商务经济主要指标，</w:t>
      </w:r>
      <w:r>
        <w:rPr>
          <w:rFonts w:hint="eastAsia" w:ascii="仿宋_GB2312" w:eastAsia="仿宋_GB2312"/>
          <w:color w:val="2B2B2B"/>
          <w:sz w:val="32"/>
          <w:szCs w:val="32"/>
        </w:rPr>
        <w:t>每月、重大节假日公开生活必需品、重要生产资料等市场运行监测数据，及时转发商务部境外环境监测情况。市场监管局网站开设了公共服务和网上办事专栏，方便群众办理市场监管业务，设置了消费维权栏目，及时发布消费者权益保护及维权信息。</w:t>
      </w:r>
    </w:p>
    <w:p>
      <w:pPr>
        <w:pStyle w:val="6"/>
        <w:shd w:val="clear" w:color="auto" w:fill="FFFFFF"/>
        <w:spacing w:beforeAutospacing="0" w:afterAutospacing="0" w:line="480" w:lineRule="auto"/>
        <w:jc w:val="center"/>
        <w:rPr>
          <w:rFonts w:ascii="仿宋_GB2312" w:eastAsia="仿宋_GB2312"/>
          <w:color w:val="2B2B2B"/>
          <w:sz w:val="32"/>
          <w:szCs w:val="32"/>
        </w:rPr>
      </w:pPr>
      <w:r>
        <w:rPr>
          <w:rFonts w:hint="eastAsia" w:ascii="仿宋_GB2312" w:eastAsia="仿宋_GB2312"/>
          <w:color w:val="2B2B2B"/>
          <w:sz w:val="32"/>
          <w:szCs w:val="32"/>
        </w:rPr>
        <w:drawing>
          <wp:inline distT="0" distB="0" distL="0" distR="0">
            <wp:extent cx="4667885" cy="2691130"/>
            <wp:effectExtent l="0" t="0" r="18415"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676292" cy="2696198"/>
                    </a:xfrm>
                    <a:prstGeom prst="rect">
                      <a:avLst/>
                    </a:prstGeom>
                  </pic:spPr>
                </pic:pic>
              </a:graphicData>
            </a:graphic>
          </wp:inline>
        </w:drawing>
      </w:r>
      <w:r>
        <w:rPr>
          <w:rFonts w:hint="eastAsia" w:ascii="仿宋_GB2312" w:eastAsia="仿宋_GB2312"/>
          <w:color w:val="2B2B2B"/>
          <w:sz w:val="32"/>
          <w:szCs w:val="32"/>
        </w:rPr>
        <w:drawing>
          <wp:inline distT="0" distB="0" distL="0" distR="0">
            <wp:extent cx="5133975" cy="416623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1887" cy="4172780"/>
                    </a:xfrm>
                    <a:prstGeom prst="rect">
                      <a:avLst/>
                    </a:prstGeom>
                  </pic:spPr>
                </pic:pic>
              </a:graphicData>
            </a:graphic>
          </wp:inline>
        </w:drawing>
      </w:r>
    </w:p>
    <w:p>
      <w:pPr>
        <w:spacing w:line="480" w:lineRule="auto"/>
        <w:ind w:firstLine="643" w:firstLineChars="200"/>
        <w:rPr>
          <w:rFonts w:ascii="仿宋_GB2312" w:eastAsia="仿宋_GB2312"/>
          <w:b/>
          <w:sz w:val="32"/>
          <w:szCs w:val="32"/>
        </w:rPr>
      </w:pPr>
    </w:p>
    <w:p>
      <w:pPr>
        <w:spacing w:line="480" w:lineRule="auto"/>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（四）围绕民生改善推进公开</w:t>
      </w:r>
    </w:p>
    <w:p>
      <w:pPr>
        <w:spacing w:line="480" w:lineRule="auto"/>
        <w:ind w:firstLine="643" w:firstLineChars="200"/>
        <w:rPr>
          <w:rFonts w:ascii="仿宋_GB2312" w:eastAsia="仿宋_GB2312"/>
          <w:sz w:val="32"/>
          <w:szCs w:val="32"/>
        </w:rPr>
      </w:pPr>
      <w:r>
        <w:rPr>
          <w:rFonts w:hint="eastAsia" w:ascii="仿宋_GB2312" w:eastAsia="仿宋_GB2312"/>
          <w:b/>
          <w:sz w:val="32"/>
          <w:szCs w:val="32"/>
        </w:rPr>
        <w:t>1、扶贫脱贫和社会救助信息公开</w:t>
      </w:r>
      <w:r>
        <w:rPr>
          <w:rFonts w:hint="eastAsia" w:ascii="仿宋_GB2312" w:eastAsia="仿宋_GB2312"/>
          <w:bCs/>
          <w:sz w:val="32"/>
          <w:szCs w:val="32"/>
        </w:rPr>
        <w:t>。脱贫攻坚扎实推进，整合扶贫资源，强化精准帮扶，积极发展庭院种植养殖、手工艺品制作等产业扶贫项目，开展“一对一”志愿帮扶活动，年内9900人实现脱贫。在政府网站设立“扶贫工作信息”专栏，公开建档立卡贫困人口、各区年度</w:t>
      </w:r>
      <w:r>
        <w:rPr>
          <w:rFonts w:hint="eastAsia" w:ascii="仿宋_GB2312" w:eastAsia="仿宋_GB2312"/>
          <w:sz w:val="32"/>
          <w:szCs w:val="32"/>
        </w:rPr>
        <w:t>减贫责任书、脱贫人员名单贫困村档案手册、行业帮扶方案、精准扶贫措施、扶贫项目实施情况、资金分配情况等。</w:t>
      </w:r>
      <w:r>
        <w:rPr>
          <w:rFonts w:hint="eastAsia" w:ascii="仿宋_GB2312" w:eastAsia="仿宋_GB2312"/>
          <w:bCs/>
          <w:sz w:val="32"/>
          <w:szCs w:val="32"/>
        </w:rPr>
        <w:t>社会救助信息，</w:t>
      </w:r>
      <w:r>
        <w:rPr>
          <w:rFonts w:hint="eastAsia" w:ascii="仿宋_GB2312" w:eastAsia="仿宋_GB2312"/>
          <w:sz w:val="32"/>
          <w:szCs w:val="32"/>
        </w:rPr>
        <w:t>重点对社会救助信息进行公示，按季度更新社会救助人数及社会救助资金支出情况、社会救助标准，接受社会各界监督。</w:t>
      </w:r>
    </w:p>
    <w:p>
      <w:pPr>
        <w:spacing w:line="480" w:lineRule="auto"/>
        <w:ind w:firstLine="643"/>
        <w:rPr>
          <w:rFonts w:ascii="仿宋_GB2312" w:eastAsia="仿宋_GB2312"/>
        </w:rPr>
      </w:pPr>
      <w:r>
        <w:rPr>
          <w:rFonts w:hint="eastAsia" w:ascii="仿宋_GB2312" w:eastAsia="仿宋_GB2312"/>
        </w:rPr>
        <w:drawing>
          <wp:anchor distT="0" distB="0" distL="0" distR="0" simplePos="0" relativeHeight="251671552" behindDoc="0" locked="0" layoutInCell="1" allowOverlap="1">
            <wp:simplePos x="0" y="0"/>
            <wp:positionH relativeFrom="column">
              <wp:posOffset>147955</wp:posOffset>
            </wp:positionH>
            <wp:positionV relativeFrom="paragraph">
              <wp:posOffset>34925</wp:posOffset>
            </wp:positionV>
            <wp:extent cx="5172710" cy="3407410"/>
            <wp:effectExtent l="0" t="0" r="8890" b="254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82979" cy="3413823"/>
                    </a:xfrm>
                    <a:prstGeom prst="rect">
                      <a:avLst/>
                    </a:prstGeom>
                  </pic:spPr>
                </pic:pic>
              </a:graphicData>
            </a:graphic>
          </wp:anchor>
        </w:drawing>
      </w:r>
    </w:p>
    <w:p>
      <w:pPr>
        <w:spacing w:line="480" w:lineRule="auto"/>
        <w:ind w:firstLine="643"/>
        <w:rPr>
          <w:rFonts w:ascii="仿宋_GB2312" w:eastAsia="仿宋_GB2312"/>
        </w:rPr>
      </w:pPr>
    </w:p>
    <w:p>
      <w:pPr>
        <w:spacing w:line="480" w:lineRule="auto"/>
        <w:ind w:firstLine="640" w:firstLineChars="200"/>
        <w:rPr>
          <w:rFonts w:ascii="仿宋_GB2312" w:eastAsia="仿宋_GB2312"/>
          <w:sz w:val="32"/>
          <w:szCs w:val="32"/>
        </w:rPr>
      </w:pPr>
      <w:r>
        <w:rPr>
          <w:rFonts w:hint="eastAsia" w:ascii="仿宋_GB2312" w:eastAsia="仿宋_GB2312"/>
          <w:sz w:val="32"/>
          <w:szCs w:val="32"/>
        </w:rPr>
        <w:drawing>
          <wp:anchor distT="0" distB="0" distL="0" distR="0" simplePos="0" relativeHeight="251672576" behindDoc="0" locked="0" layoutInCell="1" allowOverlap="1">
            <wp:simplePos x="0" y="0"/>
            <wp:positionH relativeFrom="column">
              <wp:posOffset>137795</wp:posOffset>
            </wp:positionH>
            <wp:positionV relativeFrom="paragraph">
              <wp:posOffset>6985</wp:posOffset>
            </wp:positionV>
            <wp:extent cx="5337810" cy="3700145"/>
            <wp:effectExtent l="0" t="0" r="15240" b="146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337810" cy="3700145"/>
                    </a:xfrm>
                    <a:prstGeom prst="rect">
                      <a:avLst/>
                    </a:prstGeom>
                  </pic:spPr>
                </pic:pic>
              </a:graphicData>
            </a:graphic>
          </wp:anchor>
        </w:drawing>
      </w:r>
    </w:p>
    <w:p>
      <w:pPr>
        <w:spacing w:line="480" w:lineRule="auto"/>
        <w:ind w:firstLine="640" w:firstLineChars="200"/>
        <w:rPr>
          <w:rFonts w:ascii="仿宋_GB2312" w:eastAsia="仿宋_GB2312"/>
          <w:sz w:val="32"/>
          <w:szCs w:val="32"/>
        </w:rPr>
      </w:pPr>
      <w:r>
        <w:rPr>
          <w:rFonts w:hint="eastAsia" w:ascii="仿宋_GB2312" w:eastAsia="仿宋_GB2312"/>
          <w:sz w:val="32"/>
          <w:szCs w:val="32"/>
        </w:rPr>
        <w:drawing>
          <wp:anchor distT="0" distB="0" distL="0" distR="0" simplePos="0" relativeHeight="251673600" behindDoc="0" locked="0" layoutInCell="1" allowOverlap="1">
            <wp:simplePos x="0" y="0"/>
            <wp:positionH relativeFrom="column">
              <wp:posOffset>2745105</wp:posOffset>
            </wp:positionH>
            <wp:positionV relativeFrom="paragraph">
              <wp:posOffset>2150745</wp:posOffset>
            </wp:positionV>
            <wp:extent cx="2632075" cy="3142615"/>
            <wp:effectExtent l="0" t="0" r="15875" b="63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32075" cy="3142615"/>
                    </a:xfrm>
                    <a:prstGeom prst="rect">
                      <a:avLst/>
                    </a:prstGeom>
                  </pic:spPr>
                </pic:pic>
              </a:graphicData>
            </a:graphic>
          </wp:anchor>
        </w:drawing>
      </w:r>
      <w:r>
        <w:rPr>
          <w:rFonts w:hint="eastAsia" w:ascii="仿宋_GB2312" w:eastAsia="仿宋_GB2312"/>
          <w:b/>
          <w:sz w:val="32"/>
          <w:szCs w:val="32"/>
        </w:rPr>
        <w:t>2、环境保护信息公开。</w:t>
      </w:r>
      <w:r>
        <w:rPr>
          <w:rFonts w:hint="eastAsia" w:ascii="仿宋_GB2312" w:eastAsia="仿宋_GB2312"/>
          <w:sz w:val="32"/>
          <w:szCs w:val="32"/>
        </w:rPr>
        <w:t>开设中央环保督查专栏，通过网站、微博、报纸、电视台等媒体及时向公众公布督查信息。定期召开新闻通报会，向全社会通报针对大气污染综合整治等情况。通过“莱芜环保”网站发布空气质量指数(AQI)、能见度以及二氧化硫、二氧化氮、可吸入颗粒物、细颗粒物等实时和历史监测数据。每日发布空气质量预报，细化空气质量预报内容，包括空气质量级别、空气质量状况、首要污染物、对健康影响情况及建议等。每月在莱芜环保网站、市政府政务公开平台同步公开集中式生活饮用水水源水质状况报告，全年发布12期。</w:t>
      </w:r>
    </w:p>
    <w:p>
      <w:pPr>
        <w:spacing w:line="480" w:lineRule="auto"/>
        <w:ind w:firstLine="643" w:firstLineChars="200"/>
        <w:rPr>
          <w:rFonts w:ascii="仿宋_GB2312" w:eastAsia="仿宋_GB2312"/>
          <w:sz w:val="32"/>
          <w:szCs w:val="32"/>
        </w:rPr>
      </w:pPr>
      <w:r>
        <w:rPr>
          <w:rFonts w:hint="eastAsia" w:ascii="仿宋_GB2312" w:eastAsia="仿宋_GB2312"/>
          <w:b/>
          <w:sz w:val="32"/>
          <w:szCs w:val="32"/>
        </w:rPr>
        <w:t>3、教育卫生领域信息公开。</w:t>
      </w:r>
      <w:r>
        <w:rPr>
          <w:rFonts w:hint="eastAsia" w:ascii="仿宋_GB2312" w:eastAsia="仿宋_GB2312"/>
          <w:bCs/>
          <w:sz w:val="32"/>
          <w:szCs w:val="32"/>
        </w:rPr>
        <w:t>定期</w:t>
      </w:r>
      <w:r>
        <w:rPr>
          <w:rFonts w:hint="eastAsia" w:ascii="仿宋_GB2312" w:eastAsia="仿宋_GB2312"/>
          <w:sz w:val="32"/>
          <w:szCs w:val="32"/>
        </w:rPr>
        <w:t>通报中小学校“全面改薄”和大班额消控工程进展，公开中小学、普通高中、职业学校招生意见、民办学校年检、幼儿园注册登记等信息。各医疗机构均在各自网站设立“院务公开”专栏并及时更新常规医疗服务价格、常用药品价格等相关信息。依法依规及时发布疫情信息，并及时对群众关切作出回应，指导群众科学认识应对疫情、做好预防。</w:t>
      </w:r>
    </w:p>
    <w:p>
      <w:pPr>
        <w:spacing w:line="480" w:lineRule="auto"/>
        <w:rPr>
          <w:rFonts w:ascii="仿宋_GB2312" w:eastAsia="仿宋_GB2312"/>
          <w:sz w:val="32"/>
          <w:szCs w:val="32"/>
        </w:rPr>
      </w:pPr>
    </w:p>
    <w:p>
      <w:pPr>
        <w:spacing w:line="480" w:lineRule="auto"/>
        <w:rPr>
          <w:rFonts w:ascii="仿宋_GB2312" w:eastAsia="仿宋_GB2312"/>
          <w:sz w:val="32"/>
          <w:szCs w:val="32"/>
        </w:rPr>
      </w:pPr>
      <w:r>
        <w:rPr>
          <w:rFonts w:hint="eastAsia" w:ascii="仿宋_GB2312" w:eastAsia="仿宋_GB2312"/>
          <w:sz w:val="32"/>
          <w:szCs w:val="32"/>
        </w:rPr>
        <w:drawing>
          <wp:inline distT="0" distB="0" distL="114300" distR="114300">
            <wp:extent cx="5273675" cy="2655570"/>
            <wp:effectExtent l="0" t="0" r="3175" b="11430"/>
            <wp:docPr id="18" name="图片 18" descr="微信截图_2018012521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180125210633"/>
                    <pic:cNvPicPr>
                      <a:picLocks noChangeAspect="1"/>
                    </pic:cNvPicPr>
                  </pic:nvPicPr>
                  <pic:blipFill>
                    <a:blip r:embed="rId27"/>
                    <a:stretch>
                      <a:fillRect/>
                    </a:stretch>
                  </pic:blipFill>
                  <pic:spPr>
                    <a:xfrm>
                      <a:off x="0" y="0"/>
                      <a:ext cx="5273675" cy="2655570"/>
                    </a:xfrm>
                    <a:prstGeom prst="rect">
                      <a:avLst/>
                    </a:prstGeom>
                  </pic:spPr>
                </pic:pic>
              </a:graphicData>
            </a:graphic>
          </wp:inline>
        </w:drawing>
      </w:r>
    </w:p>
    <w:p>
      <w:pPr>
        <w:spacing w:line="480" w:lineRule="auto"/>
        <w:ind w:firstLine="640"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76672" behindDoc="0" locked="0" layoutInCell="1" allowOverlap="1">
            <wp:simplePos x="0" y="0"/>
            <wp:positionH relativeFrom="column">
              <wp:posOffset>2119630</wp:posOffset>
            </wp:positionH>
            <wp:positionV relativeFrom="paragraph">
              <wp:posOffset>117475</wp:posOffset>
            </wp:positionV>
            <wp:extent cx="3544570" cy="5546090"/>
            <wp:effectExtent l="0" t="0" r="17780" b="16510"/>
            <wp:wrapSquare wrapText="bothSides"/>
            <wp:docPr id="30" name="图片 30" descr="微信截图_2018012521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截图_20180125211400"/>
                    <pic:cNvPicPr>
                      <a:picLocks noChangeAspect="1"/>
                    </pic:cNvPicPr>
                  </pic:nvPicPr>
                  <pic:blipFill>
                    <a:blip r:embed="rId28"/>
                    <a:stretch>
                      <a:fillRect/>
                    </a:stretch>
                  </pic:blipFill>
                  <pic:spPr>
                    <a:xfrm>
                      <a:off x="0" y="0"/>
                      <a:ext cx="3544570" cy="5546090"/>
                    </a:xfrm>
                    <a:prstGeom prst="rect">
                      <a:avLst/>
                    </a:prstGeom>
                  </pic:spPr>
                </pic:pic>
              </a:graphicData>
            </a:graphic>
          </wp:anchor>
        </w:drawing>
      </w:r>
      <w:r>
        <w:rPr>
          <w:rFonts w:hint="eastAsia" w:ascii="仿宋_GB2312" w:eastAsia="仿宋_GB2312"/>
          <w:b/>
          <w:sz w:val="32"/>
          <w:szCs w:val="32"/>
        </w:rPr>
        <w:t>4、食品药品安全领域信息公开。</w:t>
      </w:r>
      <w:r>
        <w:rPr>
          <w:rFonts w:hint="eastAsia" w:ascii="仿宋_GB2312" w:eastAsia="仿宋_GB2312"/>
          <w:sz w:val="32"/>
          <w:szCs w:val="32"/>
        </w:rPr>
        <w:t>公开市级行政处罚信息，共发布食品药品行政处罚信息11期，食品药品抽检信息38期，发布不合格产品核查处置信息22期。发布2016年莱芜市食品安全状况白皮书和全市2017年上半年食品安全抽检分析报告。</w:t>
      </w:r>
    </w:p>
    <w:p>
      <w:pPr>
        <w:spacing w:line="480" w:lineRule="auto"/>
        <w:rPr>
          <w:rFonts w:ascii="仿宋_GB2312" w:eastAsia="仿宋_GB2312"/>
          <w:sz w:val="32"/>
          <w:szCs w:val="32"/>
        </w:rPr>
      </w:pPr>
    </w:p>
    <w:p>
      <w:pPr>
        <w:spacing w:line="480" w:lineRule="auto"/>
        <w:ind w:firstLine="643" w:firstLineChars="200"/>
        <w:rPr>
          <w:rFonts w:ascii="楷体_GB2312" w:hAnsi="楷体_GB2312" w:eastAsia="楷体_GB2312" w:cs="楷体_GB2312"/>
          <w:b/>
          <w:sz w:val="32"/>
          <w:szCs w:val="32"/>
        </w:rPr>
      </w:pPr>
    </w:p>
    <w:p>
      <w:pPr>
        <w:spacing w:line="480" w:lineRule="auto"/>
        <w:ind w:firstLine="643" w:firstLineChars="200"/>
        <w:rPr>
          <w:rFonts w:ascii="楷体_GB2312" w:hAnsi="楷体_GB2312" w:eastAsia="楷体_GB2312" w:cs="楷体_GB2312"/>
          <w:b/>
          <w:sz w:val="32"/>
          <w:szCs w:val="32"/>
        </w:rPr>
      </w:pPr>
    </w:p>
    <w:p>
      <w:pPr>
        <w:spacing w:line="480" w:lineRule="auto"/>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（五）围绕防范风险推进公开</w:t>
      </w:r>
    </w:p>
    <w:p>
      <w:pPr>
        <w:spacing w:line="480" w:lineRule="auto"/>
        <w:ind w:firstLine="640" w:firstLineChars="200"/>
        <w:rPr>
          <w:rFonts w:ascii="仿宋_GB2312" w:eastAsia="仿宋_GB2312"/>
          <w:sz w:val="32"/>
          <w:szCs w:val="32"/>
        </w:rPr>
      </w:pPr>
      <w:r>
        <w:rPr>
          <w:rFonts w:hint="eastAsia" w:ascii="仿宋_GB2312" w:eastAsia="仿宋_GB2312"/>
          <w:sz w:val="32"/>
          <w:szCs w:val="32"/>
        </w:rPr>
        <w:drawing>
          <wp:anchor distT="0" distB="0" distL="0" distR="0" simplePos="0" relativeHeight="251677696" behindDoc="0" locked="0" layoutInCell="1" allowOverlap="1">
            <wp:simplePos x="0" y="0"/>
            <wp:positionH relativeFrom="margin">
              <wp:posOffset>-152400</wp:posOffset>
            </wp:positionH>
            <wp:positionV relativeFrom="paragraph">
              <wp:posOffset>2299335</wp:posOffset>
            </wp:positionV>
            <wp:extent cx="5701030" cy="5019675"/>
            <wp:effectExtent l="0" t="0" r="0" b="9525"/>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01030" cy="5019675"/>
                    </a:xfrm>
                    <a:prstGeom prst="rect">
                      <a:avLst/>
                    </a:prstGeom>
                  </pic:spPr>
                </pic:pic>
              </a:graphicData>
            </a:graphic>
          </wp:anchor>
        </w:drawing>
      </w:r>
      <w:r>
        <w:rPr>
          <w:rFonts w:hint="eastAsia" w:ascii="仿宋_GB2312" w:eastAsia="仿宋_GB2312"/>
          <w:b/>
          <w:sz w:val="32"/>
          <w:szCs w:val="32"/>
        </w:rPr>
        <w:t xml:space="preserve"> 1、金融风险防范方面。</w:t>
      </w:r>
      <w:r>
        <w:rPr>
          <w:rFonts w:hint="eastAsia" w:ascii="仿宋_GB2312" w:eastAsia="仿宋_GB2312"/>
          <w:sz w:val="32"/>
          <w:szCs w:val="32"/>
        </w:rPr>
        <w:t>及时公开防范金融风险的有关文件、政策和法律法规，积极做好全市金融工作专题培训班以及全市金融稳健发展工作会议的宣传工作，定期更新防范化解金融风险工作要闻，及时发布化解金融风险提示，促进全市金融生态环境进一步优化。</w:t>
      </w:r>
    </w:p>
    <w:p>
      <w:pPr>
        <w:spacing w:line="480" w:lineRule="auto"/>
        <w:rPr>
          <w:rFonts w:ascii="仿宋_GB2312" w:eastAsia="仿宋_GB2312"/>
          <w:sz w:val="32"/>
          <w:szCs w:val="32"/>
        </w:rPr>
      </w:pPr>
    </w:p>
    <w:p>
      <w:pPr>
        <w:spacing w:line="480" w:lineRule="auto"/>
        <w:ind w:firstLine="640" w:firstLineChars="200"/>
        <w:rPr>
          <w:rFonts w:ascii="仿宋_GB2312" w:eastAsia="仿宋_GB2312"/>
          <w:sz w:val="32"/>
          <w:szCs w:val="32"/>
        </w:rPr>
      </w:pPr>
    </w:p>
    <w:p>
      <w:pPr>
        <w:spacing w:line="480" w:lineRule="auto"/>
        <w:ind w:firstLine="640" w:firstLineChars="200"/>
        <w:rPr>
          <w:rFonts w:ascii="仿宋_GB2312" w:eastAsia="仿宋_GB2312"/>
          <w:sz w:val="32"/>
          <w:szCs w:val="32"/>
        </w:rPr>
      </w:pPr>
    </w:p>
    <w:p>
      <w:pPr>
        <w:spacing w:line="480" w:lineRule="auto"/>
        <w:ind w:firstLine="643" w:firstLineChars="200"/>
        <w:rPr>
          <w:rFonts w:ascii="仿宋_GB2312" w:eastAsia="仿宋_GB2312"/>
          <w:sz w:val="32"/>
          <w:szCs w:val="32"/>
        </w:rPr>
      </w:pPr>
      <w:r>
        <w:rPr>
          <w:rFonts w:hint="eastAsia" w:ascii="仿宋_GB2312" w:eastAsia="仿宋_GB2312"/>
          <w:b/>
          <w:bCs/>
          <w:sz w:val="32"/>
          <w:szCs w:val="32"/>
        </w:rPr>
        <w:t>2、</w:t>
      </w:r>
      <w:r>
        <w:rPr>
          <w:rFonts w:hint="eastAsia" w:ascii="仿宋_GB2312" w:eastAsia="仿宋_GB2312"/>
          <w:b/>
          <w:sz w:val="32"/>
          <w:szCs w:val="32"/>
        </w:rPr>
        <w:t>房地产市场方面。</w:t>
      </w:r>
      <w:r>
        <w:rPr>
          <w:rFonts w:hint="eastAsia" w:ascii="仿宋_GB2312" w:eastAsia="仿宋_GB2312"/>
          <w:sz w:val="32"/>
          <w:szCs w:val="32"/>
        </w:rPr>
        <w:t>重点公开房地产市场、棚户区改造、农民进城购房、城镇租赁住房补贴情况、房地产市场开发情况、物业管理相关情况进行公告公示，发布农民进城购房房源公示5期，资格公示10期，城中村改造公示150期，农村改厕、危房改造公示15期。</w:t>
      </w:r>
    </w:p>
    <w:p>
      <w:pPr>
        <w:spacing w:line="480" w:lineRule="auto"/>
        <w:ind w:firstLine="643"/>
        <w:rPr>
          <w:rFonts w:ascii="仿宋_GB2312" w:eastAsia="仿宋_GB2312"/>
          <w:sz w:val="32"/>
          <w:szCs w:val="32"/>
        </w:rPr>
      </w:pPr>
      <w:r>
        <w:rPr>
          <w:rFonts w:hint="eastAsia"/>
        </w:rPr>
        <w:drawing>
          <wp:anchor distT="0" distB="0" distL="0" distR="0" simplePos="0" relativeHeight="251678720" behindDoc="0" locked="0" layoutInCell="1" allowOverlap="1">
            <wp:simplePos x="0" y="0"/>
            <wp:positionH relativeFrom="margin">
              <wp:posOffset>-161925</wp:posOffset>
            </wp:positionH>
            <wp:positionV relativeFrom="paragraph">
              <wp:posOffset>419100</wp:posOffset>
            </wp:positionV>
            <wp:extent cx="5711190" cy="5181600"/>
            <wp:effectExtent l="0" t="0" r="381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11190" cy="5181600"/>
                    </a:xfrm>
                    <a:prstGeom prst="rect">
                      <a:avLst/>
                    </a:prstGeom>
                  </pic:spPr>
                </pic:pic>
              </a:graphicData>
            </a:graphic>
          </wp:anchor>
        </w:drawing>
      </w:r>
    </w:p>
    <w:p>
      <w:pPr>
        <w:spacing w:line="480" w:lineRule="auto"/>
        <w:ind w:firstLine="643"/>
      </w:pPr>
    </w:p>
    <w:p>
      <w:pPr>
        <w:spacing w:line="480" w:lineRule="auto"/>
        <w:ind w:firstLine="643" w:firstLineChars="200"/>
        <w:rPr>
          <w:rFonts w:ascii="仿宋_GB2312" w:eastAsia="仿宋_GB2312"/>
          <w:b/>
          <w:sz w:val="32"/>
          <w:szCs w:val="32"/>
        </w:rPr>
      </w:pPr>
    </w:p>
    <w:p>
      <w:pPr>
        <w:spacing w:line="480" w:lineRule="auto"/>
        <w:ind w:firstLine="640" w:firstLineChars="200"/>
        <w:rPr>
          <w:rFonts w:ascii="仿宋_GB2312" w:eastAsia="仿宋_GB2312"/>
          <w:sz w:val="32"/>
          <w:szCs w:val="32"/>
        </w:rPr>
      </w:pPr>
      <w:r>
        <w:rPr>
          <w:rFonts w:hint="eastAsia" w:ascii="仿宋_GB2312" w:eastAsia="仿宋_GB2312"/>
          <w:sz w:val="32"/>
          <w:szCs w:val="32"/>
        </w:rPr>
        <w:drawing>
          <wp:anchor distT="0" distB="0" distL="0" distR="0" simplePos="0" relativeHeight="251679744" behindDoc="0" locked="0" layoutInCell="1" allowOverlap="1">
            <wp:simplePos x="0" y="0"/>
            <wp:positionH relativeFrom="column">
              <wp:posOffset>-96520</wp:posOffset>
            </wp:positionH>
            <wp:positionV relativeFrom="paragraph">
              <wp:posOffset>3354705</wp:posOffset>
            </wp:positionV>
            <wp:extent cx="5470525" cy="5015230"/>
            <wp:effectExtent l="0" t="0" r="15875" b="1397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470525" cy="5015230"/>
                    </a:xfrm>
                    <a:prstGeom prst="rect">
                      <a:avLst/>
                    </a:prstGeom>
                  </pic:spPr>
                </pic:pic>
              </a:graphicData>
            </a:graphic>
          </wp:anchor>
        </w:drawing>
      </w:r>
      <w:r>
        <w:rPr>
          <w:rFonts w:hint="eastAsia" w:ascii="仿宋_GB2312" w:eastAsia="仿宋_GB2312"/>
          <w:b/>
          <w:sz w:val="32"/>
          <w:szCs w:val="32"/>
        </w:rPr>
        <w:t>3、土地信息方面。</w:t>
      </w:r>
      <w:r>
        <w:rPr>
          <w:rFonts w:hint="eastAsia" w:ascii="仿宋_GB2312" w:eastAsia="仿宋_GB2312"/>
          <w:sz w:val="32"/>
          <w:szCs w:val="32"/>
        </w:rPr>
        <w:t>公布实施《莱芜市2017年度国有建设用地供应计划》，对各类建设用地的基本情况、供地时序、供地方式等相关信息，在中国土地市场网、市政府网站、市国土资源局网站进行全文公布。全年公开发布出让公告19次、成交结果58次，审批国有建设用地238宗6028.9亩。按季度在土地市场动态监测与监管系统、市国土资源局网站公布房地产用地供应数据、城市地价动态监测数据。</w:t>
      </w:r>
    </w:p>
    <w:p>
      <w:pPr>
        <w:spacing w:line="480" w:lineRule="auto"/>
        <w:rPr>
          <w:rFonts w:ascii="仿宋_GB2312" w:eastAsia="仿宋_GB2312"/>
          <w:sz w:val="32"/>
          <w:szCs w:val="32"/>
        </w:rPr>
      </w:pPr>
    </w:p>
    <w:p>
      <w:pPr>
        <w:spacing w:line="480" w:lineRule="auto"/>
        <w:rPr>
          <w:rFonts w:ascii="仿宋_GB2312" w:eastAsia="仿宋_GB2312"/>
          <w:b/>
          <w:sz w:val="32"/>
          <w:szCs w:val="32"/>
        </w:rPr>
      </w:pPr>
    </w:p>
    <w:p>
      <w:pPr>
        <w:spacing w:line="480" w:lineRule="auto"/>
        <w:ind w:firstLine="640"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80768" behindDoc="0" locked="0" layoutInCell="1" allowOverlap="1">
            <wp:simplePos x="0" y="0"/>
            <wp:positionH relativeFrom="column">
              <wp:posOffset>3299460</wp:posOffset>
            </wp:positionH>
            <wp:positionV relativeFrom="paragraph">
              <wp:posOffset>89535</wp:posOffset>
            </wp:positionV>
            <wp:extent cx="2609215" cy="3579495"/>
            <wp:effectExtent l="0" t="0" r="635" b="1905"/>
            <wp:wrapSquare wrapText="bothSides"/>
            <wp:docPr id="31" name="图片 31" descr="微信截图_2018012521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截图_20180125212240"/>
                    <pic:cNvPicPr>
                      <a:picLocks noChangeAspect="1"/>
                    </pic:cNvPicPr>
                  </pic:nvPicPr>
                  <pic:blipFill>
                    <a:blip r:embed="rId32"/>
                    <a:stretch>
                      <a:fillRect/>
                    </a:stretch>
                  </pic:blipFill>
                  <pic:spPr>
                    <a:xfrm>
                      <a:off x="0" y="0"/>
                      <a:ext cx="2609215" cy="3579495"/>
                    </a:xfrm>
                    <a:prstGeom prst="rect">
                      <a:avLst/>
                    </a:prstGeom>
                  </pic:spPr>
                </pic:pic>
              </a:graphicData>
            </a:graphic>
          </wp:anchor>
        </w:drawing>
      </w:r>
      <w:r>
        <w:rPr>
          <w:rFonts w:hint="eastAsia" w:ascii="仿宋_GB2312" w:eastAsia="仿宋_GB2312"/>
          <w:b/>
          <w:sz w:val="32"/>
          <w:szCs w:val="32"/>
        </w:rPr>
        <w:t>4、防范遏制重特大生产安全事故方面。</w:t>
      </w:r>
      <w:r>
        <w:rPr>
          <w:rFonts w:hint="eastAsia" w:ascii="仿宋_GB2312" w:eastAsia="仿宋_GB2312"/>
          <w:sz w:val="32"/>
          <w:szCs w:val="32"/>
        </w:rPr>
        <w:t>定期公布生产经营单位安全生产失信行为联合惩戒和安全生产不良记录“黑名单”企业信息，事故信息和安全警示信息，公布事故调查结果。在莱芜市安监局网站和“莱芜安监”微信公众号以及《莱芜安全生产简报》上及时报道、传递安全生产监管信息。</w:t>
      </w:r>
    </w:p>
    <w:p>
      <w:pPr>
        <w:pStyle w:val="6"/>
        <w:widowControl/>
        <w:spacing w:beforeAutospacing="0" w:afterAutospacing="0" w:line="360" w:lineRule="auto"/>
        <w:ind w:firstLine="640" w:firstLineChars="200"/>
        <w:jc w:val="both"/>
        <w:rPr>
          <w:rFonts w:ascii="经典黑体简" w:hAnsi="经典黑体简" w:eastAsia="经典黑体简" w:cs="经典黑体简"/>
          <w:bCs/>
          <w:kern w:val="2"/>
          <w:sz w:val="32"/>
          <w:szCs w:val="32"/>
        </w:rPr>
      </w:pPr>
    </w:p>
    <w:p>
      <w:pPr>
        <w:pStyle w:val="6"/>
        <w:widowControl/>
        <w:spacing w:beforeAutospacing="0" w:afterAutospacing="0" w:line="360" w:lineRule="auto"/>
        <w:ind w:firstLine="640" w:firstLineChars="200"/>
        <w:jc w:val="both"/>
        <w:rPr>
          <w:rFonts w:ascii="黑体" w:hAnsi="黑体" w:eastAsia="黑体" w:cs="经典黑体简"/>
          <w:bCs/>
          <w:kern w:val="2"/>
          <w:sz w:val="32"/>
          <w:szCs w:val="32"/>
        </w:rPr>
      </w:pPr>
      <w:r>
        <w:rPr>
          <w:rFonts w:hint="eastAsia" w:ascii="黑体" w:hAnsi="黑体" w:eastAsia="黑体" w:cs="经典黑体简"/>
          <w:bCs/>
          <w:kern w:val="2"/>
          <w:sz w:val="32"/>
          <w:szCs w:val="32"/>
        </w:rPr>
        <w:t>三、主动公开渠道</w:t>
      </w:r>
    </w:p>
    <w:p>
      <w:pPr>
        <w:pStyle w:val="6"/>
        <w:widowControl/>
        <w:spacing w:beforeAutospacing="0" w:afterAutospacing="0" w:line="480" w:lineRule="auto"/>
        <w:ind w:firstLine="643" w:firstLineChars="200"/>
        <w:jc w:val="both"/>
        <w:rPr>
          <w:rFonts w:ascii="仿宋_GB2312" w:eastAsia="仿宋_GB2312"/>
          <w:sz w:val="32"/>
          <w:szCs w:val="32"/>
        </w:rPr>
      </w:pPr>
      <w:r>
        <w:rPr>
          <w:rFonts w:hint="eastAsia" w:ascii="楷体_GB2312" w:hAnsi="楷体_GB2312" w:eastAsia="楷体_GB2312" w:cs="楷体_GB2312"/>
          <w:b/>
          <w:sz w:val="32"/>
          <w:szCs w:val="32"/>
        </w:rPr>
        <w:t>（一）规范完善政府网站。</w:t>
      </w:r>
      <w:r>
        <w:rPr>
          <w:rFonts w:hint="eastAsia" w:ascii="仿宋_GB2312" w:eastAsia="仿宋_GB2312"/>
          <w:sz w:val="32"/>
          <w:szCs w:val="32"/>
        </w:rPr>
        <w:t>坚持网站是信息公开第一平台，充实网站建设队伍和技术力量，加强运行管理，确保链接正常访问，消除断链、错链等问题。完善栏目设置，消除空白栏目，充实栏目内容，及时更新信息，未出现严重错别字，虚假、伪造、反动、暴力等内容，对群众咨询问题及时回复。</w:t>
      </w:r>
    </w:p>
    <w:p>
      <w:pPr>
        <w:spacing w:line="480" w:lineRule="auto"/>
        <w:ind w:firstLine="643" w:firstLineChars="200"/>
        <w:rPr>
          <w:rFonts w:ascii="仿宋_GB2312" w:hAnsi="仿宋" w:eastAsia="仿宋_GB2312" w:cs="宋体"/>
          <w:kern w:val="0"/>
          <w:sz w:val="32"/>
          <w:szCs w:val="32"/>
        </w:rPr>
      </w:pPr>
      <w:r>
        <w:rPr>
          <w:rFonts w:hint="eastAsia" w:ascii="楷体_GB2312" w:hAnsi="楷体_GB2312" w:eastAsia="楷体_GB2312" w:cs="楷体_GB2312"/>
          <w:b/>
          <w:sz w:val="32"/>
          <w:szCs w:val="32"/>
        </w:rPr>
        <w:t>（二）定期发行政府公报</w:t>
      </w:r>
      <w:r>
        <w:rPr>
          <w:rFonts w:hint="eastAsia" w:ascii="楷体_GB2312" w:hAnsi="楷体_GB2312" w:eastAsia="楷体_GB2312" w:cs="楷体_GB2312"/>
          <w:sz w:val="32"/>
          <w:szCs w:val="32"/>
        </w:rPr>
        <w:t>。</w:t>
      </w:r>
      <w:r>
        <w:rPr>
          <w:rFonts w:hint="eastAsia" w:ascii="仿宋_GB2312" w:eastAsia="仿宋_GB2312"/>
          <w:sz w:val="32"/>
          <w:szCs w:val="32"/>
        </w:rPr>
        <w:t>全年发布《莱芜市人民政府公报》6期（双月刊），及时向社会公布市政府重大信息，</w:t>
      </w:r>
      <w:r>
        <w:rPr>
          <w:rFonts w:hint="eastAsia" w:ascii="仿宋_GB2312" w:hAnsi="仿宋" w:eastAsia="仿宋_GB2312" w:cs="宋体"/>
          <w:kern w:val="0"/>
          <w:sz w:val="32"/>
          <w:szCs w:val="32"/>
        </w:rPr>
        <w:t>并在政府网站提供在线服务，方便公众查阅。</w:t>
      </w:r>
    </w:p>
    <w:p>
      <w:pPr>
        <w:spacing w:line="480" w:lineRule="auto"/>
        <w:ind w:firstLine="643" w:firstLineChars="200"/>
        <w:rPr>
          <w:rFonts w:ascii="仿宋_GB2312" w:hAnsi="仿宋" w:eastAsia="仿宋_GB2312"/>
          <w:sz w:val="32"/>
          <w:szCs w:val="32"/>
          <w:lang w:val="fr-FR"/>
        </w:rPr>
      </w:pPr>
      <w:r>
        <w:rPr>
          <w:rFonts w:hint="eastAsia" w:ascii="楷体_GB2312" w:hAnsi="楷体_GB2312" w:eastAsia="楷体_GB2312" w:cs="楷体_GB2312"/>
          <w:b/>
          <w:sz w:val="32"/>
          <w:szCs w:val="32"/>
        </w:rPr>
        <w:t>（三）落实新闻发布制度</w:t>
      </w:r>
      <w:r>
        <w:rPr>
          <w:rFonts w:hint="eastAsia" w:ascii="楷体_GB2312" w:hAnsi="楷体_GB2312" w:eastAsia="楷体_GB2312" w:cs="楷体_GB2312"/>
          <w:sz w:val="32"/>
          <w:szCs w:val="32"/>
        </w:rPr>
        <w:t>。</w:t>
      </w:r>
      <w:r>
        <w:rPr>
          <w:rFonts w:hint="eastAsia" w:ascii="仿宋_GB2312" w:hAnsi="仿宋" w:eastAsia="仿宋_GB2312" w:cs="Arial"/>
          <w:kern w:val="0"/>
          <w:sz w:val="32"/>
          <w:szCs w:val="32"/>
        </w:rPr>
        <w:t>市政府设立新闻发言人1名，各区、各部门单位均设立新闻发言人，</w:t>
      </w:r>
      <w:r>
        <w:rPr>
          <w:rFonts w:hint="eastAsia" w:ascii="仿宋_GB2312" w:hAnsi="仿宋" w:eastAsia="仿宋_GB2312"/>
          <w:sz w:val="32"/>
          <w:szCs w:val="32"/>
          <w:lang w:val="fr-FR"/>
        </w:rPr>
        <w:t>明确发言人责任，提升发言人发布信息的准确性和权威性。制定了《莱芜市政府新闻发布和新闻发言人制度（试行）》，</w:t>
      </w:r>
      <w:r>
        <w:rPr>
          <w:rFonts w:hint="eastAsia" w:ascii="仿宋_GB2312" w:hAnsi="仿宋" w:eastAsia="仿宋_GB2312" w:cs="Arial"/>
          <w:kern w:val="0"/>
          <w:sz w:val="32"/>
          <w:szCs w:val="32"/>
        </w:rPr>
        <w:t>建立例行新闻发布制度，重大新闻发布由市政府办公室和市政府新闻办进行审核把关并提供发布建议</w:t>
      </w:r>
      <w:r>
        <w:rPr>
          <w:rFonts w:hint="eastAsia" w:ascii="仿宋_GB2312" w:hAnsi="仿宋" w:eastAsia="仿宋_GB2312"/>
          <w:sz w:val="32"/>
          <w:szCs w:val="32"/>
          <w:lang w:val="fr-FR"/>
        </w:rPr>
        <w:t>。全市召开新闻发布会12次，省、市媒体进行了报道。</w:t>
      </w:r>
    </w:p>
    <w:p>
      <w:pPr>
        <w:spacing w:line="480" w:lineRule="auto"/>
        <w:ind w:firstLine="640" w:firstLineChars="200"/>
        <w:rPr>
          <w:rFonts w:ascii="仿宋_GB2312" w:hAnsi="仿宋" w:eastAsia="仿宋_GB2312" w:cs="方正仿宋简体"/>
          <w:sz w:val="32"/>
          <w:szCs w:val="32"/>
        </w:rPr>
      </w:pPr>
      <w:r>
        <w:rPr>
          <w:rFonts w:hint="eastAsia" w:ascii="仿宋_GB2312" w:hAnsi="仿宋" w:eastAsia="仿宋_GB2312"/>
          <w:sz w:val="32"/>
          <w:szCs w:val="32"/>
        </w:rPr>
        <w:drawing>
          <wp:anchor distT="0" distB="0" distL="0" distR="0" simplePos="0" relativeHeight="251682816" behindDoc="0" locked="0" layoutInCell="1" allowOverlap="1">
            <wp:simplePos x="0" y="0"/>
            <wp:positionH relativeFrom="column">
              <wp:posOffset>121285</wp:posOffset>
            </wp:positionH>
            <wp:positionV relativeFrom="paragraph">
              <wp:posOffset>307975</wp:posOffset>
            </wp:positionV>
            <wp:extent cx="5158105" cy="3438525"/>
            <wp:effectExtent l="0" t="0" r="4445" b="9525"/>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64936" cy="3443291"/>
                    </a:xfrm>
                    <a:prstGeom prst="rect">
                      <a:avLst/>
                    </a:prstGeom>
                  </pic:spPr>
                </pic:pic>
              </a:graphicData>
            </a:graphic>
          </wp:anchor>
        </w:drawing>
      </w:r>
      <w:r>
        <w:rPr>
          <w:rFonts w:hint="eastAsia" w:ascii="楷体_GB2312" w:hAnsi="楷体_GB2312" w:eastAsia="楷体_GB2312" w:cs="楷体_GB2312"/>
          <w:b/>
          <w:sz w:val="32"/>
          <w:szCs w:val="32"/>
          <w:lang w:val="fr-FR"/>
        </w:rPr>
        <w:t>（</w:t>
      </w:r>
      <w:r>
        <w:rPr>
          <w:rFonts w:hint="eastAsia" w:ascii="楷体_GB2312" w:hAnsi="楷体_GB2312" w:eastAsia="楷体_GB2312" w:cs="楷体_GB2312"/>
          <w:b/>
          <w:sz w:val="32"/>
          <w:szCs w:val="32"/>
        </w:rPr>
        <w:t>四</w:t>
      </w:r>
      <w:r>
        <w:rPr>
          <w:rFonts w:hint="eastAsia" w:ascii="楷体_GB2312" w:hAnsi="楷体_GB2312" w:eastAsia="楷体_GB2312" w:cs="楷体_GB2312"/>
          <w:b/>
          <w:sz w:val="32"/>
          <w:szCs w:val="32"/>
          <w:lang w:val="fr-FR"/>
        </w:rPr>
        <w:t>）</w:t>
      </w:r>
      <w:r>
        <w:rPr>
          <w:rFonts w:hint="eastAsia" w:ascii="楷体_GB2312" w:hAnsi="楷体_GB2312" w:eastAsia="楷体_GB2312" w:cs="楷体_GB2312"/>
          <w:b/>
          <w:sz w:val="32"/>
          <w:szCs w:val="32"/>
        </w:rPr>
        <w:t>建好用好新媒体</w:t>
      </w:r>
      <w:r>
        <w:rPr>
          <w:rFonts w:hint="eastAsia" w:ascii="楷体_GB2312" w:hAnsi="楷体_GB2312" w:eastAsia="楷体_GB2312" w:cs="楷体_GB2312"/>
          <w:sz w:val="32"/>
          <w:szCs w:val="32"/>
        </w:rPr>
        <w:t>。</w:t>
      </w:r>
      <w:r>
        <w:rPr>
          <w:rFonts w:hint="eastAsia" w:ascii="仿宋_GB2312" w:hAnsi="仿宋" w:eastAsia="仿宋_GB2312"/>
          <w:sz w:val="32"/>
          <w:szCs w:val="32"/>
          <w:lang w:val="fr-FR"/>
        </w:rPr>
        <w:t>在市政府网站设置“微门户”栏目，公开客户端、微博、微信公众号“二维码”，</w:t>
      </w:r>
      <w:r>
        <w:rPr>
          <w:rFonts w:hint="eastAsia" w:ascii="仿宋_GB2312" w:eastAsia="仿宋_GB2312"/>
          <w:sz w:val="32"/>
          <w:szCs w:val="32"/>
        </w:rPr>
        <w:t>由市政府新闻办安排专人维护“莱芜发布”客户端和“莱芜发布”政务微博、微信，及时高效推送政府重大决策和社会关注信息。</w:t>
      </w:r>
      <w:r>
        <w:rPr>
          <w:rFonts w:hint="eastAsia" w:ascii="仿宋_GB2312" w:hAnsi="仿宋" w:eastAsia="仿宋_GB2312" w:cs="方正仿宋简体"/>
          <w:sz w:val="32"/>
          <w:szCs w:val="32"/>
        </w:rPr>
        <w:t>积极利用微博、微信等新媒体回应网民关切，搭建政民沟通新平台，“莱芜发布”新浪微博、微信全年发布信息</w:t>
      </w:r>
      <w:r>
        <w:rPr>
          <w:rFonts w:ascii="仿宋_GB2312" w:hAnsi="仿宋" w:eastAsia="仿宋_GB2312" w:cs="方正仿宋简体"/>
          <w:sz w:val="32"/>
          <w:szCs w:val="32"/>
        </w:rPr>
        <w:t>240</w:t>
      </w:r>
      <w:r>
        <w:rPr>
          <w:rFonts w:hint="eastAsia" w:ascii="仿宋_GB2312" w:hAnsi="仿宋" w:eastAsia="仿宋_GB2312" w:cs="方正仿宋简体"/>
          <w:sz w:val="32"/>
          <w:szCs w:val="32"/>
        </w:rPr>
        <w:t>余条。</w:t>
      </w:r>
    </w:p>
    <w:p>
      <w:pPr>
        <w:spacing w:line="480" w:lineRule="auto"/>
        <w:ind w:firstLine="640" w:firstLineChars="200"/>
        <w:jc w:val="left"/>
        <w:rPr>
          <w:rFonts w:ascii="仿宋_GB2312" w:hAnsi="仿宋" w:eastAsia="仿宋_GB2312" w:cs="方正仿宋简体"/>
          <w:sz w:val="32"/>
          <w:szCs w:val="32"/>
        </w:rPr>
      </w:pPr>
      <w:r>
        <w:rPr>
          <w:rFonts w:hint="eastAsia" w:ascii="仿宋_GB2312" w:hAnsi="仿宋" w:eastAsia="仿宋_GB2312" w:cs="方正仿宋简体"/>
          <w:sz w:val="32"/>
          <w:szCs w:val="32"/>
        </w:rPr>
        <w:drawing>
          <wp:anchor distT="0" distB="0" distL="0" distR="0" simplePos="0" relativeHeight="251683840" behindDoc="0" locked="0" layoutInCell="1" allowOverlap="1">
            <wp:simplePos x="0" y="0"/>
            <wp:positionH relativeFrom="margin">
              <wp:align>left</wp:align>
            </wp:positionH>
            <wp:positionV relativeFrom="paragraph">
              <wp:posOffset>0</wp:posOffset>
            </wp:positionV>
            <wp:extent cx="2379345" cy="2879725"/>
            <wp:effectExtent l="0" t="0" r="1905"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9600" cy="2880000"/>
                    </a:xfrm>
                    <a:prstGeom prst="rect">
                      <a:avLst/>
                    </a:prstGeom>
                  </pic:spPr>
                </pic:pic>
              </a:graphicData>
            </a:graphic>
          </wp:anchor>
        </w:drawing>
      </w:r>
      <w:r>
        <w:rPr>
          <w:rFonts w:hint="eastAsia" w:ascii="仿宋_GB2312" w:hAnsi="仿宋" w:eastAsia="仿宋_GB2312" w:cs="方正仿宋简体"/>
          <w:sz w:val="32"/>
          <w:szCs w:val="32"/>
        </w:rPr>
        <w:drawing>
          <wp:anchor distT="0" distB="0" distL="114300" distR="114300" simplePos="0" relativeHeight="251688960" behindDoc="0" locked="0" layoutInCell="1" allowOverlap="1">
            <wp:simplePos x="0" y="0"/>
            <wp:positionH relativeFrom="column">
              <wp:posOffset>2790825</wp:posOffset>
            </wp:positionH>
            <wp:positionV relativeFrom="paragraph">
              <wp:posOffset>28575</wp:posOffset>
            </wp:positionV>
            <wp:extent cx="2397125" cy="2879725"/>
            <wp:effectExtent l="0" t="0" r="3175"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7125" cy="2879725"/>
                    </a:xfrm>
                    <a:prstGeom prst="rect">
                      <a:avLst/>
                    </a:prstGeom>
                  </pic:spPr>
                </pic:pic>
              </a:graphicData>
            </a:graphic>
          </wp:anchor>
        </w:drawing>
      </w:r>
    </w:p>
    <w:p>
      <w:pPr>
        <w:pStyle w:val="6"/>
        <w:widowControl/>
        <w:spacing w:beforeAutospacing="0" w:afterAutospacing="0" w:line="480" w:lineRule="auto"/>
        <w:ind w:firstLine="643" w:firstLineChars="200"/>
        <w:jc w:val="both"/>
        <w:rPr>
          <w:rFonts w:ascii="仿宋_GB2312" w:eastAsia="仿宋_GB2312"/>
          <w:sz w:val="32"/>
          <w:szCs w:val="32"/>
        </w:rPr>
      </w:pPr>
      <w:r>
        <w:rPr>
          <w:rFonts w:hint="eastAsia" w:ascii="楷体_GB2312" w:hAnsi="楷体_GB2312" w:eastAsia="楷体_GB2312" w:cs="楷体_GB2312"/>
          <w:b/>
          <w:bCs/>
          <w:sz w:val="32"/>
          <w:szCs w:val="32"/>
        </w:rPr>
        <w:drawing>
          <wp:anchor distT="0" distB="0" distL="0" distR="0" simplePos="0" relativeHeight="251684864" behindDoc="0" locked="0" layoutInCell="1" allowOverlap="1">
            <wp:simplePos x="0" y="0"/>
            <wp:positionH relativeFrom="column">
              <wp:posOffset>1301115</wp:posOffset>
            </wp:positionH>
            <wp:positionV relativeFrom="paragraph">
              <wp:posOffset>1616075</wp:posOffset>
            </wp:positionV>
            <wp:extent cx="2522220" cy="3482340"/>
            <wp:effectExtent l="0" t="0" r="11430" b="3810"/>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522220" cy="3482340"/>
                    </a:xfrm>
                    <a:prstGeom prst="rect">
                      <a:avLst/>
                    </a:prstGeom>
                  </pic:spPr>
                </pic:pic>
              </a:graphicData>
            </a:graphic>
          </wp:anchor>
        </w:drawing>
      </w:r>
      <w:r>
        <w:rPr>
          <w:rFonts w:hint="eastAsia" w:ascii="楷体_GB2312" w:hAnsi="楷体_GB2312" w:eastAsia="楷体_GB2312" w:cs="楷体_GB2312"/>
          <w:b/>
          <w:bCs/>
          <w:sz w:val="32"/>
          <w:szCs w:val="32"/>
        </w:rPr>
        <w:t>（五）设置政府信息公开查阅场所。</w:t>
      </w:r>
      <w:r>
        <w:rPr>
          <w:rFonts w:hint="eastAsia" w:ascii="仿宋_GB2312" w:eastAsia="仿宋_GB2312"/>
          <w:sz w:val="32"/>
          <w:szCs w:val="32"/>
        </w:rPr>
        <w:t>在莱芜市档案馆、莱芜市图书馆设置市级政府信息公开查阅场所并统一挂“莱芜市政府信息公开查阅中心”的牌子，并在市政府网站公开，市档案馆全年查阅人数4800余人次。</w:t>
      </w:r>
    </w:p>
    <w:p>
      <w:pPr>
        <w:pStyle w:val="6"/>
        <w:widowControl/>
        <w:spacing w:beforeAutospacing="0" w:afterAutospacing="0" w:line="360" w:lineRule="auto"/>
        <w:ind w:firstLine="640" w:firstLineChars="200"/>
        <w:jc w:val="both"/>
        <w:rPr>
          <w:rFonts w:ascii="黑体" w:hAnsi="黑体" w:eastAsia="黑体" w:cs="经典黑体简"/>
          <w:bCs/>
          <w:kern w:val="2"/>
          <w:sz w:val="32"/>
          <w:szCs w:val="32"/>
        </w:rPr>
      </w:pPr>
    </w:p>
    <w:p>
      <w:pPr>
        <w:pStyle w:val="6"/>
        <w:widowControl/>
        <w:spacing w:beforeAutospacing="0" w:afterAutospacing="0" w:line="360" w:lineRule="auto"/>
        <w:ind w:firstLine="640" w:firstLineChars="200"/>
        <w:jc w:val="both"/>
        <w:rPr>
          <w:rFonts w:ascii="黑体" w:hAnsi="黑体" w:eastAsia="黑体" w:cs="经典黑体简"/>
          <w:bCs/>
          <w:kern w:val="2"/>
          <w:sz w:val="32"/>
          <w:szCs w:val="32"/>
        </w:rPr>
      </w:pPr>
      <w:r>
        <w:rPr>
          <w:rFonts w:hint="eastAsia" w:ascii="黑体" w:hAnsi="黑体" w:eastAsia="黑体" w:cs="经典黑体简"/>
          <w:bCs/>
          <w:kern w:val="2"/>
          <w:sz w:val="32"/>
          <w:szCs w:val="32"/>
        </w:rPr>
        <w:t>四、依申请公开政府信息和不予公开政府信息的情况</w:t>
      </w:r>
    </w:p>
    <w:p>
      <w:pPr>
        <w:pStyle w:val="6"/>
        <w:widowControl/>
        <w:spacing w:beforeAutospacing="0" w:afterAutospacing="0" w:line="360" w:lineRule="auto"/>
        <w:ind w:firstLine="640" w:firstLineChars="200"/>
        <w:jc w:val="both"/>
        <w:rPr>
          <w:rFonts w:ascii="仿宋_GB2312" w:eastAsia="仿宋_GB2312" w:cstheme="minorBidi"/>
          <w:kern w:val="2"/>
          <w:sz w:val="32"/>
          <w:szCs w:val="32"/>
          <w:u w:val="single"/>
        </w:rPr>
      </w:pPr>
      <w:r>
        <w:rPr>
          <w:rFonts w:hint="eastAsia" w:ascii="仿宋_GB2312" w:eastAsia="仿宋_GB2312" w:cstheme="minorBidi"/>
          <w:kern w:val="2"/>
          <w:sz w:val="32"/>
          <w:szCs w:val="32"/>
        </w:rPr>
        <w:t>畅通信息公开的申请渠道，严格落实《莱芜市政府信息依申请公开规范答复制度（试行）》（莱政办发〔201</w:t>
      </w:r>
      <w:r>
        <w:rPr>
          <w:rFonts w:ascii="仿宋_GB2312" w:eastAsia="仿宋_GB2312" w:cstheme="minorBidi"/>
          <w:kern w:val="2"/>
          <w:sz w:val="32"/>
          <w:szCs w:val="32"/>
        </w:rPr>
        <w:t>5</w:t>
      </w:r>
      <w:r>
        <w:rPr>
          <w:rFonts w:hint="eastAsia" w:ascii="仿宋_GB2312" w:eastAsia="仿宋_GB2312" w:cstheme="minorBidi"/>
          <w:kern w:val="2"/>
          <w:sz w:val="32"/>
          <w:szCs w:val="32"/>
        </w:rPr>
        <w:t>〕10号），指导各级各部门对依法受理的申请，在法定期限内作出书面答复，同时明确法律救济渠道，确保程序合法、内容全面、格式规范。2017年，全市各级行政机关共收到政府信息公开申请</w:t>
      </w:r>
      <w:r>
        <w:rPr>
          <w:rFonts w:ascii="仿宋_GB2312" w:eastAsia="仿宋_GB2312" w:cstheme="minorBidi"/>
          <w:kern w:val="2"/>
          <w:sz w:val="32"/>
          <w:szCs w:val="32"/>
        </w:rPr>
        <w:t>133</w:t>
      </w:r>
      <w:r>
        <w:rPr>
          <w:rFonts w:hint="eastAsia" w:ascii="仿宋_GB2312" w:eastAsia="仿宋_GB2312" w:cstheme="minorBidi"/>
          <w:kern w:val="2"/>
          <w:sz w:val="32"/>
          <w:szCs w:val="32"/>
        </w:rPr>
        <w:t>件，回复率100%；无不予公开的政府信息。</w:t>
      </w:r>
    </w:p>
    <w:p>
      <w:pPr>
        <w:pStyle w:val="6"/>
        <w:widowControl/>
        <w:spacing w:beforeAutospacing="0" w:afterAutospacing="0" w:line="360" w:lineRule="auto"/>
        <w:ind w:firstLine="640" w:firstLineChars="200"/>
        <w:jc w:val="both"/>
        <w:rPr>
          <w:rFonts w:ascii="黑体" w:hAnsi="黑体" w:eastAsia="黑体" w:cs="经典黑体简"/>
          <w:bCs/>
          <w:kern w:val="2"/>
          <w:sz w:val="32"/>
          <w:szCs w:val="32"/>
        </w:rPr>
      </w:pPr>
      <w:r>
        <w:rPr>
          <w:rFonts w:hint="eastAsia" w:ascii="黑体" w:hAnsi="黑体" w:eastAsia="黑体" w:cs="经典黑体简"/>
          <w:bCs/>
          <w:kern w:val="2"/>
          <w:sz w:val="32"/>
          <w:szCs w:val="32"/>
        </w:rPr>
        <w:t>五、政府信息公开的收费及减免情况</w:t>
      </w:r>
    </w:p>
    <w:p>
      <w:pPr>
        <w:pStyle w:val="6"/>
        <w:widowControl/>
        <w:spacing w:beforeAutospacing="0" w:afterAutospacing="0" w:line="360" w:lineRule="auto"/>
        <w:ind w:firstLine="640" w:firstLineChars="200"/>
        <w:jc w:val="both"/>
        <w:rPr>
          <w:rFonts w:ascii="仿宋_GB2312" w:eastAsia="仿宋_GB2312" w:cstheme="minorBidi"/>
          <w:kern w:val="2"/>
          <w:sz w:val="32"/>
          <w:szCs w:val="32"/>
        </w:rPr>
      </w:pPr>
      <w:r>
        <w:rPr>
          <w:rFonts w:hint="eastAsia" w:ascii="仿宋_GB2312" w:eastAsia="仿宋_GB2312" w:cstheme="minorBidi"/>
          <w:kern w:val="2"/>
          <w:sz w:val="32"/>
          <w:szCs w:val="32"/>
        </w:rPr>
        <w:t>2017年，全市各级行政机关未向申请人收取政府信息公开有关费用。</w:t>
      </w:r>
    </w:p>
    <w:p>
      <w:pPr>
        <w:pStyle w:val="6"/>
        <w:widowControl/>
        <w:spacing w:beforeAutospacing="0" w:afterAutospacing="0" w:line="360" w:lineRule="auto"/>
        <w:ind w:firstLine="640" w:firstLineChars="200"/>
        <w:jc w:val="both"/>
        <w:rPr>
          <w:rFonts w:ascii="黑体" w:hAnsi="黑体" w:eastAsia="黑体" w:cs="经典黑体简"/>
          <w:bCs/>
          <w:kern w:val="2"/>
          <w:sz w:val="32"/>
          <w:szCs w:val="32"/>
        </w:rPr>
      </w:pPr>
      <w:r>
        <w:rPr>
          <w:rFonts w:hint="eastAsia" w:ascii="黑体" w:hAnsi="黑体" w:eastAsia="黑体" w:cs="经典黑体简"/>
          <w:bCs/>
          <w:kern w:val="2"/>
          <w:sz w:val="32"/>
          <w:szCs w:val="32"/>
        </w:rPr>
        <w:t>六、因政府信息公开申请提起行政复议、行政诉讼的情况</w:t>
      </w:r>
    </w:p>
    <w:p>
      <w:pPr>
        <w:pStyle w:val="6"/>
        <w:widowControl/>
        <w:spacing w:beforeAutospacing="0" w:afterAutospacing="0" w:line="360" w:lineRule="auto"/>
        <w:ind w:firstLine="640" w:firstLineChars="200"/>
        <w:jc w:val="both"/>
        <w:rPr>
          <w:rFonts w:ascii="仿宋_GB2312" w:eastAsia="仿宋_GB2312" w:cstheme="minorBidi"/>
          <w:kern w:val="2"/>
          <w:sz w:val="32"/>
          <w:szCs w:val="32"/>
        </w:rPr>
      </w:pPr>
      <w:r>
        <w:rPr>
          <w:rFonts w:hint="eastAsia" w:ascii="仿宋_GB2312" w:eastAsia="仿宋_GB2312" w:cstheme="minorBidi"/>
          <w:kern w:val="2"/>
          <w:sz w:val="32"/>
          <w:szCs w:val="32"/>
        </w:rPr>
        <w:t>2017年，全市共收到关于政府信息公开方面的行政复议申请</w:t>
      </w:r>
      <w:r>
        <w:rPr>
          <w:rFonts w:ascii="仿宋_GB2312" w:eastAsia="仿宋_GB2312" w:cstheme="minorBidi"/>
          <w:kern w:val="2"/>
          <w:sz w:val="32"/>
          <w:szCs w:val="32"/>
        </w:rPr>
        <w:t>9</w:t>
      </w:r>
      <w:r>
        <w:rPr>
          <w:rFonts w:hint="eastAsia" w:ascii="仿宋_GB2312" w:eastAsia="仿宋_GB2312" w:cstheme="minorBidi"/>
          <w:kern w:val="2"/>
          <w:sz w:val="32"/>
          <w:szCs w:val="32"/>
        </w:rPr>
        <w:t>件，已全部办理完毕；共收到关于政府信息公开方面的举报投诉0件；全市因公民、法人和其他组织认为行政机关政府信息公开工作具体行政行为侵犯其合法权益，提起行政诉讼</w:t>
      </w:r>
      <w:r>
        <w:rPr>
          <w:rFonts w:ascii="仿宋_GB2312" w:eastAsia="仿宋_GB2312" w:cstheme="minorBidi"/>
          <w:kern w:val="2"/>
          <w:sz w:val="32"/>
          <w:szCs w:val="32"/>
        </w:rPr>
        <w:t>1</w:t>
      </w:r>
      <w:r>
        <w:rPr>
          <w:rFonts w:hint="eastAsia" w:ascii="仿宋_GB2312" w:eastAsia="仿宋_GB2312" w:cstheme="minorBidi"/>
          <w:kern w:val="2"/>
          <w:sz w:val="32"/>
          <w:szCs w:val="32"/>
        </w:rPr>
        <w:t>件。</w:t>
      </w:r>
    </w:p>
    <w:p>
      <w:pPr>
        <w:pStyle w:val="6"/>
        <w:widowControl/>
        <w:spacing w:beforeAutospacing="0" w:afterAutospacing="0" w:line="360" w:lineRule="auto"/>
        <w:ind w:firstLine="640" w:firstLineChars="200"/>
        <w:jc w:val="both"/>
        <w:rPr>
          <w:rFonts w:ascii="黑体" w:hAnsi="黑体" w:eastAsia="黑体" w:cs="经典黑体简"/>
          <w:bCs/>
          <w:kern w:val="2"/>
          <w:sz w:val="32"/>
          <w:szCs w:val="32"/>
        </w:rPr>
      </w:pPr>
      <w:r>
        <w:rPr>
          <w:rFonts w:hint="eastAsia" w:ascii="黑体" w:hAnsi="黑体" w:eastAsia="黑体" w:cs="经典黑体简"/>
          <w:bCs/>
          <w:kern w:val="2"/>
          <w:sz w:val="32"/>
          <w:szCs w:val="32"/>
        </w:rPr>
        <w:t>七、所属事业单位信息公开工作推进措施和落实情况</w:t>
      </w:r>
    </w:p>
    <w:p>
      <w:pPr>
        <w:widowControl/>
        <w:shd w:val="clear" w:color="auto" w:fill="FFFFFF"/>
        <w:adjustRightInd w:val="0"/>
        <w:snapToGrid w:val="0"/>
        <w:spacing w:line="360" w:lineRule="auto"/>
        <w:ind w:firstLine="640" w:firstLineChars="200"/>
        <w:rPr>
          <w:rFonts w:ascii="仿宋_GB2312" w:hAnsi="仿宋" w:eastAsia="仿宋_GB2312" w:cs="仿宋_GB2312"/>
          <w:color w:val="000000"/>
          <w:kern w:val="0"/>
          <w:sz w:val="32"/>
          <w:szCs w:val="32"/>
        </w:rPr>
      </w:pPr>
      <w:r>
        <w:rPr>
          <w:rFonts w:hint="eastAsia" w:ascii="仿宋_GB2312" w:hAnsi="仿宋" w:eastAsia="仿宋_GB2312" w:cs="仿宋_GB2312"/>
          <w:color w:val="000000"/>
          <w:kern w:val="0"/>
          <w:sz w:val="32"/>
          <w:szCs w:val="32"/>
        </w:rPr>
        <w:t>全市教育、医疗卫生、供气、供热、道路运输、社会救助、优抚安置和社会福利等与人民群众关系密切的事业单位，均纳入了政务公开体系。在莱芜市政府门户网站显著位置设立“公共服务”专栏，加强了社会管理、公用事业、公共交通、劳动就业、医疗卫生等信息的集中公开工作。</w:t>
      </w:r>
    </w:p>
    <w:p>
      <w:pPr>
        <w:pStyle w:val="6"/>
        <w:widowControl/>
        <w:spacing w:beforeAutospacing="0" w:afterAutospacing="0" w:line="360" w:lineRule="auto"/>
        <w:ind w:firstLine="640" w:firstLineChars="200"/>
        <w:jc w:val="both"/>
        <w:rPr>
          <w:rFonts w:ascii="黑体" w:hAnsi="黑体" w:eastAsia="黑体" w:cs="经典黑体简"/>
          <w:bCs/>
          <w:kern w:val="2"/>
          <w:sz w:val="32"/>
          <w:szCs w:val="32"/>
        </w:rPr>
      </w:pPr>
      <w:r>
        <w:rPr>
          <w:rFonts w:hint="eastAsia" w:ascii="黑体" w:hAnsi="黑体" w:eastAsia="黑体" w:cs="经典黑体简"/>
          <w:bCs/>
          <w:kern w:val="2"/>
          <w:sz w:val="32"/>
          <w:szCs w:val="32"/>
        </w:rPr>
        <w:t>八、存在的主要问题及改进情况</w:t>
      </w:r>
    </w:p>
    <w:p>
      <w:pPr>
        <w:widowControl/>
        <w:shd w:val="clear" w:color="auto" w:fill="FFFFFF"/>
        <w:adjustRightInd w:val="0"/>
        <w:snapToGrid w:val="0"/>
        <w:spacing w:line="360" w:lineRule="auto"/>
        <w:ind w:firstLine="640" w:firstLineChars="200"/>
        <w:rPr>
          <w:rFonts w:ascii="仿宋_GB2312" w:hAnsi="仿宋" w:eastAsia="仿宋_GB2312" w:cs="Times New Roman"/>
          <w:color w:val="000000"/>
          <w:kern w:val="0"/>
          <w:sz w:val="32"/>
          <w:szCs w:val="32"/>
        </w:rPr>
      </w:pPr>
      <w:r>
        <w:rPr>
          <w:rFonts w:hint="eastAsia" w:ascii="仿宋_GB2312" w:eastAsia="仿宋_GB2312"/>
          <w:sz w:val="32"/>
          <w:szCs w:val="32"/>
        </w:rPr>
        <w:t>全市政府信息与政务公开工作虽然取得了一定成绩，但与上级要求以及社会的期望相比，还存在一些差距和不足，主要表现在：一是公开内容还不够全面和深入，特别是一些政府数据信息的公开还有待加强；二是公开的主动性、及时性尚需进一步加强，个别部门信息更新不够及时；三是新媒体的应用还不广泛。</w:t>
      </w:r>
    </w:p>
    <w:p>
      <w:pPr>
        <w:pStyle w:val="6"/>
        <w:widowControl/>
        <w:spacing w:beforeAutospacing="0" w:afterAutospacing="0" w:line="360" w:lineRule="auto"/>
        <w:ind w:firstLine="640" w:firstLineChars="200"/>
        <w:jc w:val="both"/>
        <w:rPr>
          <w:rFonts w:ascii="仿宋_GB2312" w:eastAsia="仿宋_GB2312" w:cstheme="minorBidi"/>
          <w:kern w:val="2"/>
          <w:sz w:val="32"/>
          <w:szCs w:val="32"/>
        </w:rPr>
      </w:pPr>
      <w:r>
        <w:rPr>
          <w:rFonts w:hint="eastAsia" w:ascii="仿宋_GB2312" w:eastAsia="仿宋_GB2312" w:cstheme="minorBidi"/>
          <w:kern w:val="2"/>
          <w:sz w:val="32"/>
          <w:szCs w:val="32"/>
        </w:rPr>
        <w:t>2018年，莱芜市将认真贯彻中央、省委省政府的工作部署，坚持“公开为原则，不公开为例外”，扎实推进全市政府信息与政务公开工作，确保信息发布的准确性、真实性、时效性，保障人民群众知情权、参与权</w:t>
      </w:r>
      <w:r>
        <w:rPr>
          <w:rFonts w:ascii="仿宋_GB2312" w:eastAsia="仿宋_GB2312" w:cstheme="minorBidi"/>
          <w:kern w:val="2"/>
          <w:sz w:val="32"/>
          <w:szCs w:val="32"/>
        </w:rPr>
        <w:t>和监督权，努力</w:t>
      </w:r>
      <w:r>
        <w:rPr>
          <w:rFonts w:hint="eastAsia" w:ascii="仿宋_GB2312" w:eastAsia="仿宋_GB2312" w:cstheme="minorBidi"/>
          <w:kern w:val="2"/>
          <w:sz w:val="32"/>
          <w:szCs w:val="32"/>
        </w:rPr>
        <w:t>提高政府</w:t>
      </w:r>
      <w:r>
        <w:rPr>
          <w:rFonts w:ascii="仿宋_GB2312" w:eastAsia="仿宋_GB2312" w:cstheme="minorBidi"/>
          <w:kern w:val="2"/>
          <w:sz w:val="32"/>
          <w:szCs w:val="32"/>
        </w:rPr>
        <w:t>公信力</w:t>
      </w:r>
      <w:r>
        <w:rPr>
          <w:rFonts w:hint="eastAsia" w:ascii="仿宋_GB2312" w:eastAsia="仿宋_GB2312" w:cstheme="minorBidi"/>
          <w:kern w:val="2"/>
          <w:sz w:val="32"/>
          <w:szCs w:val="32"/>
        </w:rPr>
        <w:t>。重点做好以下几个方面的工作：</w:t>
      </w:r>
    </w:p>
    <w:p>
      <w:pPr>
        <w:pStyle w:val="6"/>
        <w:widowControl/>
        <w:spacing w:beforeAutospacing="0" w:afterAutospacing="0" w:line="360" w:lineRule="auto"/>
        <w:ind w:firstLine="643" w:firstLineChars="200"/>
        <w:jc w:val="both"/>
        <w:rPr>
          <w:rFonts w:ascii="仿宋_GB2312" w:eastAsia="仿宋_GB2312" w:cstheme="minorBidi"/>
          <w:kern w:val="2"/>
          <w:sz w:val="32"/>
          <w:szCs w:val="32"/>
        </w:rPr>
      </w:pPr>
      <w:r>
        <w:rPr>
          <w:rFonts w:hint="eastAsia" w:ascii="楷体_GB2312" w:hAnsi="楷体_GB2312" w:eastAsia="楷体_GB2312" w:cs="楷体_GB2312"/>
          <w:b/>
          <w:bCs/>
          <w:kern w:val="2"/>
          <w:sz w:val="32"/>
          <w:szCs w:val="32"/>
        </w:rPr>
        <w:t>一是深化主动公开的内容和范围。</w:t>
      </w:r>
      <w:r>
        <w:rPr>
          <w:rFonts w:hint="eastAsia" w:ascii="仿宋_GB2312" w:eastAsia="仿宋_GB2312" w:cstheme="minorBidi"/>
          <w:kern w:val="2"/>
          <w:sz w:val="32"/>
          <w:szCs w:val="32"/>
        </w:rPr>
        <w:t>围绕中心，突出重点，注重实效，全面推进“五公开”，通过多种形式让人民群众参与和知道，充分保障人民群众知情权、参与权和监督权。</w:t>
      </w:r>
    </w:p>
    <w:p>
      <w:pPr>
        <w:pStyle w:val="6"/>
        <w:widowControl/>
        <w:spacing w:beforeAutospacing="0" w:afterAutospacing="0" w:line="360" w:lineRule="auto"/>
        <w:ind w:firstLine="643" w:firstLineChars="200"/>
        <w:jc w:val="both"/>
        <w:rPr>
          <w:rFonts w:ascii="仿宋_GB2312" w:eastAsia="仿宋_GB2312" w:cstheme="minorBidi"/>
          <w:kern w:val="2"/>
          <w:sz w:val="32"/>
          <w:szCs w:val="32"/>
        </w:rPr>
      </w:pPr>
      <w:r>
        <w:rPr>
          <w:rFonts w:hint="eastAsia" w:ascii="楷体_GB2312" w:hAnsi="楷体_GB2312" w:eastAsia="楷体_GB2312" w:cs="楷体_GB2312"/>
          <w:b/>
          <w:bCs/>
          <w:kern w:val="2"/>
          <w:sz w:val="32"/>
          <w:szCs w:val="32"/>
        </w:rPr>
        <w:t>二是增强和规范政府信息依申请公开工作。</w:t>
      </w:r>
      <w:r>
        <w:rPr>
          <w:rFonts w:hint="eastAsia" w:ascii="仿宋_GB2312" w:eastAsia="仿宋_GB2312" w:cstheme="minorBidi"/>
          <w:kern w:val="2"/>
          <w:sz w:val="32"/>
          <w:szCs w:val="32"/>
        </w:rPr>
        <w:t>进一步加强政府信息</w:t>
      </w:r>
      <w:r>
        <w:rPr>
          <w:rFonts w:ascii="仿宋_GB2312" w:eastAsia="仿宋_GB2312" w:cstheme="minorBidi"/>
          <w:kern w:val="2"/>
          <w:sz w:val="32"/>
          <w:szCs w:val="32"/>
        </w:rPr>
        <w:t>依申请公开工作的程序性、针对性，</w:t>
      </w:r>
      <w:r>
        <w:rPr>
          <w:rFonts w:hint="eastAsia" w:ascii="仿宋_GB2312" w:eastAsia="仿宋_GB2312" w:cstheme="minorBidi"/>
          <w:kern w:val="2"/>
          <w:sz w:val="32"/>
          <w:szCs w:val="32"/>
        </w:rPr>
        <w:t>切实</w:t>
      </w:r>
      <w:r>
        <w:rPr>
          <w:rFonts w:ascii="仿宋_GB2312" w:eastAsia="仿宋_GB2312" w:cstheme="minorBidi"/>
          <w:kern w:val="2"/>
          <w:sz w:val="32"/>
          <w:szCs w:val="32"/>
        </w:rPr>
        <w:t>规范受理、审查、办理程序，</w:t>
      </w:r>
      <w:r>
        <w:rPr>
          <w:rFonts w:hint="eastAsia" w:ascii="仿宋_GB2312" w:eastAsia="仿宋_GB2312" w:cstheme="minorBidi"/>
          <w:kern w:val="2"/>
          <w:sz w:val="32"/>
          <w:szCs w:val="32"/>
        </w:rPr>
        <w:t>增强依申请公开</w:t>
      </w:r>
      <w:r>
        <w:rPr>
          <w:rFonts w:ascii="仿宋_GB2312" w:eastAsia="仿宋_GB2312" w:cstheme="minorBidi"/>
          <w:kern w:val="2"/>
          <w:sz w:val="32"/>
          <w:szCs w:val="32"/>
        </w:rPr>
        <w:t>答复的规范性</w:t>
      </w:r>
      <w:r>
        <w:rPr>
          <w:rFonts w:hint="eastAsia" w:ascii="仿宋_GB2312" w:eastAsia="仿宋_GB2312" w:cstheme="minorBidi"/>
          <w:kern w:val="2"/>
          <w:sz w:val="32"/>
          <w:szCs w:val="32"/>
        </w:rPr>
        <w:t>和时效性</w:t>
      </w:r>
      <w:r>
        <w:rPr>
          <w:rFonts w:ascii="仿宋_GB2312" w:eastAsia="仿宋_GB2312" w:cstheme="minorBidi"/>
          <w:kern w:val="2"/>
          <w:sz w:val="32"/>
          <w:szCs w:val="32"/>
        </w:rPr>
        <w:t>，</w:t>
      </w:r>
      <w:r>
        <w:rPr>
          <w:rFonts w:hint="eastAsia" w:ascii="仿宋_GB2312" w:eastAsia="仿宋_GB2312" w:cstheme="minorBidi"/>
          <w:kern w:val="2"/>
          <w:sz w:val="32"/>
          <w:szCs w:val="32"/>
        </w:rPr>
        <w:t>保障人民群众的</w:t>
      </w:r>
      <w:r>
        <w:rPr>
          <w:rFonts w:ascii="仿宋_GB2312" w:eastAsia="仿宋_GB2312" w:cstheme="minorBidi"/>
          <w:kern w:val="2"/>
          <w:sz w:val="32"/>
          <w:szCs w:val="32"/>
        </w:rPr>
        <w:t>知情权。</w:t>
      </w:r>
    </w:p>
    <w:p>
      <w:pPr>
        <w:pStyle w:val="6"/>
        <w:widowControl/>
        <w:spacing w:beforeAutospacing="0" w:afterAutospacing="0" w:line="360" w:lineRule="auto"/>
        <w:ind w:firstLine="643" w:firstLineChars="200"/>
        <w:jc w:val="both"/>
        <w:rPr>
          <w:rFonts w:ascii="仿宋_GB2312" w:hAnsi="仿宋_GB2312" w:eastAsia="仿宋_GB2312" w:cs="仿宋_GB2312"/>
          <w:kern w:val="2"/>
          <w:sz w:val="32"/>
          <w:szCs w:val="32"/>
        </w:rPr>
      </w:pPr>
      <w:r>
        <w:rPr>
          <w:rFonts w:hint="eastAsia" w:ascii="楷体_GB2312" w:hAnsi="楷体_GB2312" w:eastAsia="楷体_GB2312" w:cs="楷体_GB2312"/>
          <w:b/>
          <w:bCs/>
          <w:kern w:val="2"/>
          <w:sz w:val="32"/>
          <w:szCs w:val="32"/>
        </w:rPr>
        <w:t>三是不断丰富和拓展公开渠道。</w:t>
      </w:r>
      <w:r>
        <w:rPr>
          <w:rFonts w:hint="eastAsia" w:ascii="仿宋_GB2312" w:eastAsia="仿宋_GB2312" w:cstheme="minorBidi"/>
          <w:kern w:val="2"/>
          <w:sz w:val="32"/>
          <w:szCs w:val="32"/>
        </w:rPr>
        <w:t>在全市建立起以“莱芜市人民政府”门户网站、各部门单位网站、各专业网站（如莱芜就业网）为主要公开平台，报纸、电视等传统媒体、政府公报、新闻发布会、微博、微信等多渠道的公开</w:t>
      </w:r>
      <w:r>
        <w:rPr>
          <w:rFonts w:hint="eastAsia" w:ascii="仿宋_GB2312" w:hAnsi="仿宋_GB2312" w:eastAsia="仿宋_GB2312" w:cs="仿宋_GB2312"/>
          <w:kern w:val="2"/>
          <w:sz w:val="32"/>
          <w:szCs w:val="32"/>
        </w:rPr>
        <w:t>体系。</w:t>
      </w:r>
    </w:p>
    <w:p>
      <w:pPr>
        <w:pStyle w:val="6"/>
        <w:widowControl/>
        <w:spacing w:beforeAutospacing="0" w:afterAutospacing="0" w:line="360" w:lineRule="auto"/>
        <w:ind w:firstLine="643" w:firstLineChars="200"/>
        <w:jc w:val="both"/>
        <w:rPr>
          <w:rFonts w:hint="eastAsia" w:ascii="仿宋_GB2312" w:eastAsia="仿宋_GB2312" w:cstheme="minorBidi"/>
          <w:kern w:val="2"/>
          <w:sz w:val="32"/>
          <w:szCs w:val="32"/>
        </w:rPr>
      </w:pPr>
      <w:r>
        <w:rPr>
          <w:rFonts w:hint="eastAsia" w:ascii="楷体_GB2312" w:hAnsi="楷体_GB2312" w:eastAsia="楷体_GB2312" w:cs="楷体_GB2312"/>
          <w:b/>
          <w:bCs/>
          <w:kern w:val="2"/>
          <w:sz w:val="32"/>
          <w:szCs w:val="32"/>
        </w:rPr>
        <w:t>四是强化对政务公开的督查考核。</w:t>
      </w:r>
      <w:r>
        <w:rPr>
          <w:rFonts w:hint="eastAsia" w:ascii="仿宋_GB2312" w:eastAsia="仿宋_GB2312" w:cstheme="minorBidi"/>
          <w:kern w:val="2"/>
          <w:sz w:val="32"/>
          <w:szCs w:val="32"/>
        </w:rPr>
        <w:t>继续把政务公开纳入绩效考核体系，定期进行督查考核，确保公开的信息规范、合法、及时、准确，促进全市政务工作全面提升。</w:t>
      </w:r>
    </w:p>
    <w:p>
      <w:pPr>
        <w:pStyle w:val="6"/>
        <w:widowControl/>
        <w:spacing w:beforeAutospacing="0" w:afterAutospacing="0" w:line="360" w:lineRule="auto"/>
        <w:ind w:firstLine="640" w:firstLineChars="200"/>
        <w:jc w:val="both"/>
        <w:rPr>
          <w:rFonts w:hint="eastAsia" w:ascii="仿宋_GB2312" w:eastAsia="仿宋_GB2312" w:cstheme="minorBidi"/>
          <w:kern w:val="2"/>
          <w:sz w:val="32"/>
          <w:szCs w:val="32"/>
        </w:rPr>
      </w:pPr>
    </w:p>
    <w:p>
      <w:pPr>
        <w:rPr>
          <w:rFonts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ascii="黑体" w:hAnsi="宋体" w:eastAsia="黑体"/>
          <w:sz w:val="24"/>
        </w:rPr>
      </w:pPr>
      <w:bookmarkStart w:id="1" w:name="_GoBack"/>
      <w:bookmarkEnd w:id="1"/>
      <w:r>
        <w:rPr>
          <w:rFonts w:hint="eastAsia" w:ascii="黑体" w:hAnsi="宋体" w:eastAsia="黑体"/>
          <w:sz w:val="24"/>
        </w:rPr>
        <w:t>附件1</w:t>
      </w:r>
    </w:p>
    <w:p>
      <w:pPr>
        <w:jc w:val="center"/>
        <w:rPr>
          <w:rFonts w:ascii="宋体" w:hAnsi="宋体"/>
          <w:b/>
          <w:sz w:val="32"/>
        </w:rPr>
      </w:pPr>
      <w:r>
        <w:rPr>
          <w:rFonts w:hint="eastAsia" w:ascii="宋体" w:hAnsi="宋体"/>
          <w:b/>
          <w:sz w:val="32"/>
        </w:rPr>
        <w:t>2017年度政府信息公开工作情况统计表</w:t>
      </w:r>
    </w:p>
    <w:p>
      <w:pPr>
        <w:jc w:val="center"/>
        <w:rPr>
          <w:rFonts w:ascii="宋体" w:hAnsi="宋体"/>
          <w:b/>
          <w:sz w:val="28"/>
          <w:szCs w:val="28"/>
        </w:rPr>
      </w:pPr>
      <w:r>
        <w:rPr>
          <w:rFonts w:hint="eastAsia" w:ascii="宋体" w:hAnsi="宋体"/>
          <w:b/>
          <w:sz w:val="28"/>
          <w:szCs w:val="28"/>
        </w:rPr>
        <w:t>（莱芜市政府）</w:t>
      </w:r>
    </w:p>
    <w:tbl>
      <w:tblPr>
        <w:tblStyle w:val="12"/>
        <w:tblW w:w="9450" w:type="dxa"/>
        <w:jc w:val="center"/>
        <w:tblInd w:w="0"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433"/>
        <w:gridCol w:w="1002"/>
        <w:gridCol w:w="1015"/>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6"/>
              <w:spacing w:before="0" w:beforeAutospacing="0" w:after="0" w:afterAutospacing="0" w:line="420" w:lineRule="atLeast"/>
              <w:ind w:firstLine="685"/>
              <w:jc w:val="center"/>
              <w:rPr>
                <w:color w:val="000000"/>
              </w:rPr>
            </w:pPr>
            <w:r>
              <w:rPr>
                <w:rStyle w:val="8"/>
                <w:rFonts w:hint="eastAsia"/>
                <w:color w:val="000000"/>
                <w:sz w:val="20"/>
                <w:szCs w:val="20"/>
              </w:rPr>
              <w:t>统　计　指　标</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Style w:val="8"/>
                <w:rFonts w:hint="eastAsia" w:ascii="宋体" w:hAnsi="宋体"/>
                <w:color w:val="000000"/>
                <w:sz w:val="20"/>
                <w:szCs w:val="20"/>
              </w:rPr>
              <w:t>单位</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Style w:val="8"/>
                <w:rFonts w:hint="eastAsia" w:ascii="宋体" w:hAnsi="宋体"/>
                <w:color w:val="000000"/>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一、主动公开情况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46116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（一）主动公开政府信息数</w:t>
            </w:r>
            <w:r>
              <w:rPr>
                <w:rFonts w:hint="eastAsia" w:ascii="宋体" w:hAnsi="宋体"/>
                <w:color w:val="000000"/>
                <w:sz w:val="20"/>
                <w:szCs w:val="20"/>
              </w:rPr>
              <w:t>（不同渠道和方式公开相同信息计1条）</w:t>
            </w:r>
            <w:r>
              <w:rPr>
                <w:rFonts w:ascii="宋体" w:hAnsi="宋体"/>
                <w:color w:val="000000"/>
                <w:sz w:val="20"/>
                <w:szCs w:val="20"/>
              </w:rPr>
              <w:br w:type="textWrapping"/>
            </w:r>
            <w:r>
              <w:rPr>
                <w:rFonts w:ascii="宋体" w:hAnsi="宋体"/>
                <w:color w:val="000000"/>
                <w:sz w:val="20"/>
                <w:szCs w:val="20"/>
              </w:rPr>
              <w:t>　　　　（不同渠道和方式公开相同信息计1条）</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210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其中：主动公开规范性文件数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48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制发规范性文件总数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162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（二）通过不同渠道和方式公开政府信息的情况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45906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1.政府公报公开政府信息数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61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36875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3.政务微博公开政府信息数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3537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4.政务微信公开政府信息数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2797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2636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b/>
                <w:color w:val="000000"/>
                <w:sz w:val="24"/>
              </w:rPr>
            </w:pPr>
            <w:r>
              <w:rPr>
                <w:rFonts w:hint="eastAsia" w:ascii="宋体" w:hAnsi="宋体"/>
                <w:b/>
                <w:color w:val="000000"/>
                <w:sz w:val="20"/>
                <w:szCs w:val="20"/>
              </w:rPr>
              <w:t>二、回应解读情况（不同方式回应同一热点或舆情计1次）</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6"/>
              <w:spacing w:before="0" w:beforeAutospacing="0" w:after="0" w:afterAutospacing="0" w:line="420" w:lineRule="atLeast"/>
              <w:ind w:firstLine="685"/>
              <w:jc w:val="center"/>
              <w:rPr>
                <w:color w:val="000000"/>
              </w:rPr>
            </w:pPr>
          </w:p>
        </w:tc>
        <w:tc>
          <w:tcPr>
            <w:tcW w:w="1015" w:type="dxa"/>
            <w:tcBorders>
              <w:top w:val="single" w:color="auto" w:sz="0" w:space="0"/>
              <w:left w:val="single" w:color="auto" w:sz="0" w:space="0"/>
              <w:bottom w:val="single" w:color="auto" w:sz="0" w:space="0"/>
            </w:tcBorders>
            <w:shd w:val="clear" w:color="auto" w:fill="FFFFFF"/>
            <w:vAlign w:val="center"/>
          </w:tcPr>
          <w:p>
            <w:pPr>
              <w:ind w:firstLine="200" w:firstLineChars="100"/>
              <w:rPr>
                <w:sz w:val="20"/>
                <w:szCs w:val="20"/>
              </w:rPr>
            </w:pPr>
            <w:r>
              <w:rPr>
                <w:sz w:val="20"/>
                <w:szCs w:val="20"/>
              </w:rPr>
              <w:t>15034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6"/>
              <w:spacing w:before="0" w:beforeAutospacing="0" w:after="0" w:afterAutospacing="0" w:line="420" w:lineRule="atLeast"/>
              <w:ind w:firstLine="400" w:firstLineChars="200"/>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type="textWrapping"/>
            </w:r>
            <w:r>
              <w:rPr>
                <w:rFonts w:cs="Times New Roman"/>
                <w:color w:val="000000"/>
                <w:kern w:val="2"/>
                <w:sz w:val="20"/>
                <w:szCs w:val="20"/>
              </w:rPr>
              <w:t>　　　　 （不同方式回应同一热点或舆情计1次）</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2440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（二）通过不同渠道和方式回应解读的情况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sz w:val="20"/>
                <w:szCs w:val="20"/>
              </w:rPr>
              <w:t>12594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1.参加或举办新闻发布会总次数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其中：主要负责同志参加新闻发布会次数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3.政策解读稿件发布数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篇</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30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4.微博微信回应事件数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103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cs="宋体"/>
                <w:color w:val="000000"/>
                <w:sz w:val="24"/>
              </w:rPr>
            </w:pPr>
            <w:r>
              <w:rPr>
                <w:rFonts w:ascii="宋体" w:hAnsi="宋体"/>
                <w:color w:val="000000"/>
                <w:sz w:val="20"/>
                <w:szCs w:val="20"/>
              </w:rPr>
              <w:t>12399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三、依申请公开情况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6"/>
              <w:spacing w:before="0" w:beforeAutospacing="0" w:after="0" w:afterAutospacing="0" w:line="420" w:lineRule="atLeast"/>
              <w:ind w:firstLine="685"/>
              <w:jc w:val="center"/>
              <w:rPr>
                <w:color w:val="000000"/>
              </w:rPr>
            </w:pPr>
          </w:p>
        </w:tc>
        <w:tc>
          <w:tcPr>
            <w:tcW w:w="1015" w:type="dxa"/>
            <w:tcBorders>
              <w:top w:val="single" w:color="auto" w:sz="0" w:space="0"/>
              <w:left w:val="single" w:color="auto" w:sz="0" w:space="0"/>
              <w:bottom w:val="single" w:color="auto" w:sz="0" w:space="0"/>
            </w:tcBorders>
            <w:shd w:val="clear" w:color="auto" w:fill="FFFFFF"/>
            <w:vAlign w:val="center"/>
          </w:tcPr>
          <w:p>
            <w:pPr>
              <w:rPr>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（一）收到申请数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cs="宋体"/>
                <w:color w:val="000000"/>
                <w:sz w:val="24"/>
              </w:rPr>
            </w:pPr>
            <w:r>
              <w:rPr>
                <w:rFonts w:ascii="宋体" w:hAnsi="宋体"/>
                <w:color w:val="000000"/>
                <w:sz w:val="20"/>
                <w:szCs w:val="20"/>
              </w:rPr>
              <w:t>133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1.当面申请数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cs="宋体"/>
                <w:color w:val="000000"/>
                <w:sz w:val="24"/>
              </w:rPr>
            </w:pPr>
            <w:r>
              <w:rPr>
                <w:rFonts w:ascii="宋体" w:hAnsi="宋体"/>
                <w:color w:val="000000"/>
                <w:sz w:val="20"/>
                <w:szCs w:val="20"/>
              </w:rPr>
              <w:t>47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2.传真申请数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3.网络申请数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23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4.信函申请数</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outset" w:color="000000" w:sz="6"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color w:val="000000"/>
                <w:sz w:val="20"/>
                <w:szCs w:val="20"/>
              </w:rPr>
              <w:t xml:space="preserve">          5.其他形式</w:t>
            </w:r>
          </w:p>
        </w:tc>
        <w:tc>
          <w:tcPr>
            <w:tcW w:w="1002"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101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color w:val="000000"/>
                <w:sz w:val="20"/>
                <w:szCs w:val="20"/>
              </w:rPr>
            </w:pPr>
            <w:r>
              <w:rPr>
                <w:rFonts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（二）申请办结数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cs="宋体"/>
                <w:color w:val="000000"/>
                <w:sz w:val="24"/>
              </w:rPr>
            </w:pPr>
            <w:r>
              <w:rPr>
                <w:rFonts w:ascii="宋体" w:hAnsi="宋体"/>
                <w:color w:val="000000"/>
                <w:sz w:val="20"/>
                <w:szCs w:val="20"/>
              </w:rPr>
              <w:t>133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1.按时办结数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cs="宋体"/>
                <w:color w:val="000000"/>
                <w:sz w:val="24"/>
              </w:rPr>
            </w:pPr>
            <w:r>
              <w:rPr>
                <w:rFonts w:ascii="宋体" w:hAnsi="宋体"/>
                <w:color w:val="000000"/>
                <w:sz w:val="20"/>
                <w:szCs w:val="20"/>
              </w:rPr>
              <w:t>125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2.延期办结数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（三）申请答复数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cs="宋体"/>
                <w:color w:val="000000"/>
                <w:sz w:val="24"/>
              </w:rPr>
            </w:pPr>
            <w:r>
              <w:rPr>
                <w:rFonts w:ascii="宋体" w:hAnsi="宋体"/>
                <w:color w:val="000000"/>
                <w:sz w:val="20"/>
                <w:szCs w:val="20"/>
              </w:rPr>
              <w:t>133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1.属于已主动公开范围数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cs="宋体"/>
                <w:color w:val="000000"/>
                <w:sz w:val="24"/>
              </w:rPr>
            </w:pPr>
            <w:r>
              <w:rPr>
                <w:rFonts w:ascii="宋体" w:hAnsi="宋体"/>
                <w:color w:val="000000"/>
                <w:sz w:val="20"/>
                <w:szCs w:val="20"/>
              </w:rPr>
              <w:t>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84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3.同意部分公开答复数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4.不同意公开答复数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其中：涉及国家秘密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涉及商业秘密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涉及个人隐私</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危及国家安全、公共安全、经济安全和社会稳定</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不是《条例》所指政府信息</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法律法规规定的其他情形</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5.不属于本行政机关公开数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200" w:firstLineChars="100"/>
              <w:rPr>
                <w:rFonts w:ascii="宋体" w:hAnsi="宋体" w:cs="宋体"/>
                <w:color w:val="000000"/>
                <w:sz w:val="24"/>
              </w:rPr>
            </w:pPr>
            <w:r>
              <w:rPr>
                <w:rFonts w:ascii="宋体" w:hAnsi="宋体"/>
                <w:color w:val="000000"/>
                <w:sz w:val="20"/>
                <w:szCs w:val="20"/>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6.申请信息不存在数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7.告知作出更改补充数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8.告知通过其他途径办理数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四、行政复议数量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五、行政诉讼数量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（一）维持具体行政行为或者驳回原告诉讼请求数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六、被举报投诉数量</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（一）维持具体行政行为数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200" w:firstLineChars="100"/>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（二）被纠错数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200" w:firstLineChars="100"/>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（三）其他情形数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200" w:firstLineChars="100"/>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b/>
                <w:bCs/>
                <w:color w:val="000000"/>
                <w:sz w:val="20"/>
                <w:szCs w:val="20"/>
              </w:rPr>
            </w:pPr>
            <w:r>
              <w:rPr>
                <w:rFonts w:hint="eastAsia" w:ascii="宋体" w:hAnsi="宋体"/>
                <w:b/>
                <w:bCs/>
                <w:color w:val="000000"/>
                <w:sz w:val="20"/>
                <w:szCs w:val="20"/>
              </w:rPr>
              <w:t>七、向图书馆、档案馆等查阅场所报送信息数</w:t>
            </w:r>
          </w:p>
          <w:p>
            <w:pPr>
              <w:spacing w:line="420" w:lineRule="atLeast"/>
              <w:rPr>
                <w:rFonts w:ascii="宋体" w:hAnsi="宋体"/>
                <w:color w:val="000000"/>
                <w:sz w:val="20"/>
                <w:szCs w:val="20"/>
              </w:rPr>
            </w:pP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200" w:firstLineChars="100"/>
              <w:rPr>
                <w:rFonts w:ascii="宋体" w:hAnsi="宋体"/>
                <w:color w:val="000000"/>
                <w:sz w:val="20"/>
                <w:szCs w:val="20"/>
              </w:rPr>
            </w:pPr>
            <w:r>
              <w:rPr>
                <w:rFonts w:hint="eastAsia" w:ascii="宋体" w:hAnsi="宋体"/>
                <w:color w:val="000000"/>
                <w:sz w:val="20"/>
                <w:szCs w:val="20"/>
              </w:rPr>
              <w:t>1</w:t>
            </w:r>
            <w:r>
              <w:rPr>
                <w:rFonts w:ascii="宋体" w:hAnsi="宋体"/>
                <w:color w:val="000000"/>
                <w:sz w:val="20"/>
                <w:szCs w:val="20"/>
              </w:rPr>
              <w:t>478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（一）</w:t>
            </w:r>
            <w:r>
              <w:rPr>
                <w:rFonts w:hint="eastAsia" w:ascii="宋体" w:hAnsi="宋体"/>
                <w:color w:val="000000"/>
                <w:sz w:val="20"/>
                <w:szCs w:val="20"/>
              </w:rPr>
              <w:t>纸质文件数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200" w:firstLineChars="100"/>
              <w:rPr>
                <w:rFonts w:ascii="宋体" w:hAnsi="宋体"/>
                <w:color w:val="000000"/>
                <w:sz w:val="20"/>
                <w:szCs w:val="20"/>
              </w:rPr>
            </w:pPr>
            <w:r>
              <w:rPr>
                <w:rFonts w:hint="eastAsia" w:ascii="宋体" w:hAnsi="宋体"/>
                <w:color w:val="000000"/>
                <w:sz w:val="20"/>
                <w:szCs w:val="20"/>
              </w:rPr>
              <w:t>627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（二）</w:t>
            </w:r>
            <w:r>
              <w:rPr>
                <w:rFonts w:hint="eastAsia" w:ascii="宋体" w:hAnsi="宋体"/>
                <w:color w:val="000000"/>
                <w:sz w:val="20"/>
                <w:szCs w:val="20"/>
              </w:rPr>
              <w:t>电子文件数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200" w:firstLineChars="100"/>
              <w:rPr>
                <w:rFonts w:ascii="宋体" w:hAnsi="宋体"/>
                <w:color w:val="000000"/>
                <w:sz w:val="20"/>
                <w:szCs w:val="20"/>
              </w:rPr>
            </w:pPr>
            <w:r>
              <w:rPr>
                <w:rFonts w:hint="eastAsia" w:ascii="宋体" w:hAnsi="宋体"/>
                <w:color w:val="000000"/>
                <w:sz w:val="20"/>
                <w:szCs w:val="20"/>
              </w:rPr>
              <w:t>851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八、开通政府信息公开网站（或设立门户网站信息公开专栏）数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ind w:firstLine="200" w:firstLineChars="100"/>
              <w:rPr>
                <w:rFonts w:ascii="黑体" w:hAnsi="宋体" w:eastAsia="黑体"/>
                <w:color w:val="000000"/>
                <w:sz w:val="20"/>
                <w:szCs w:val="20"/>
              </w:rPr>
            </w:pPr>
            <w:r>
              <w:rPr>
                <w:rFonts w:hint="eastAsia" w:ascii="黑体" w:hAnsi="宋体" w:eastAsia="黑体"/>
                <w:color w:val="000000"/>
                <w:sz w:val="20"/>
                <w:szCs w:val="20"/>
              </w:rPr>
              <w:t>58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（一）</w:t>
            </w:r>
            <w:r>
              <w:rPr>
                <w:rFonts w:hint="eastAsia" w:ascii="宋体" w:hAnsi="宋体"/>
                <w:color w:val="000000"/>
                <w:sz w:val="20"/>
                <w:szCs w:val="20"/>
              </w:rPr>
              <w:t>市政府及其部门门户网站</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200" w:firstLineChars="100"/>
              <w:rPr>
                <w:rFonts w:ascii="黑体" w:hAnsi="宋体" w:eastAsia="黑体"/>
                <w:color w:val="000000"/>
                <w:sz w:val="20"/>
                <w:szCs w:val="20"/>
              </w:rPr>
            </w:pPr>
            <w:r>
              <w:rPr>
                <w:rFonts w:hint="eastAsia" w:ascii="黑体" w:hAnsi="宋体" w:eastAsia="黑体"/>
                <w:color w:val="000000"/>
                <w:sz w:val="20"/>
                <w:szCs w:val="20"/>
              </w:rPr>
              <w:t>52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二</w:t>
            </w:r>
            <w:r>
              <w:rPr>
                <w:rFonts w:ascii="宋体" w:hAnsi="宋体"/>
                <w:color w:val="000000"/>
                <w:sz w:val="20"/>
                <w:szCs w:val="20"/>
              </w:rPr>
              <w:t>）</w:t>
            </w:r>
            <w:r>
              <w:rPr>
                <w:rFonts w:hint="eastAsia" w:ascii="宋体" w:hAnsi="宋体"/>
                <w:color w:val="000000"/>
                <w:sz w:val="20"/>
                <w:szCs w:val="20"/>
              </w:rPr>
              <w:t>县（市、区）政府门户网站</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200" w:firstLineChars="100"/>
              <w:rPr>
                <w:rFonts w:ascii="黑体" w:hAnsi="宋体" w:eastAsia="黑体"/>
                <w:color w:val="000000"/>
                <w:sz w:val="20"/>
                <w:szCs w:val="20"/>
              </w:rPr>
            </w:pPr>
            <w:r>
              <w:rPr>
                <w:rFonts w:hint="eastAsia" w:ascii="黑体" w:hAnsi="宋体" w:eastAsia="黑体"/>
                <w:color w:val="000000"/>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三</w:t>
            </w:r>
            <w:r>
              <w:rPr>
                <w:rFonts w:ascii="宋体" w:hAnsi="宋体"/>
                <w:color w:val="000000"/>
                <w:sz w:val="20"/>
                <w:szCs w:val="20"/>
              </w:rPr>
              <w:t>）</w:t>
            </w:r>
            <w:r>
              <w:rPr>
                <w:rFonts w:hint="eastAsia" w:ascii="宋体" w:hAnsi="宋体"/>
                <w:color w:val="000000"/>
                <w:sz w:val="20"/>
                <w:szCs w:val="20"/>
              </w:rPr>
              <w:t>乡镇政府（街道办事处）门户网站</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200" w:firstLineChars="100"/>
              <w:rPr>
                <w:rFonts w:ascii="黑体" w:hAnsi="宋体" w:eastAsia="黑体"/>
                <w:color w:val="000000"/>
                <w:sz w:val="20"/>
                <w:szCs w:val="20"/>
              </w:rPr>
            </w:pPr>
            <w:r>
              <w:rPr>
                <w:rFonts w:hint="eastAsia" w:ascii="黑体" w:hAnsi="宋体" w:eastAsia="黑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九、市政府公报发行量</w:t>
            </w:r>
          </w:p>
        </w:tc>
        <w:tc>
          <w:tcPr>
            <w:tcW w:w="1002" w:type="dxa"/>
            <w:tcBorders>
              <w:top w:val="single" w:color="auto" w:sz="4" w:space="0"/>
              <w:left w:val="outset" w:color="000000" w:sz="6" w:space="0"/>
              <w:bottom w:val="single" w:color="auto" w:sz="4" w:space="0"/>
              <w:right w:val="outset" w:color="000000" w:sz="6" w:space="0"/>
              <w:tr2bl w:val="single" w:color="auto" w:sz="4"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 xml:space="preserve">          </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1000" w:firstLineChars="500"/>
              <w:rPr>
                <w:rFonts w:ascii="黑体" w:hAnsi="宋体" w:eastAsia="黑体"/>
                <w:color w:val="000000"/>
                <w:sz w:val="20"/>
                <w:szCs w:val="20"/>
              </w:rPr>
            </w:pPr>
            <w:r>
              <w:rPr>
                <w:rFonts w:ascii="黑体" w:hAnsi="宋体" w:eastAsia="黑体"/>
                <w:color w:val="000000"/>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（一）</w:t>
            </w:r>
            <w:r>
              <w:rPr>
                <w:rFonts w:hint="eastAsia" w:ascii="宋体" w:hAnsi="宋体"/>
                <w:color w:val="000000"/>
                <w:sz w:val="20"/>
                <w:szCs w:val="20"/>
              </w:rPr>
              <w:t>公报发行期数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6期</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1000" w:firstLineChars="500"/>
              <w:rPr>
                <w:rFonts w:ascii="黑体" w:hAnsi="宋体" w:eastAsia="黑体"/>
                <w:color w:val="000000"/>
                <w:sz w:val="20"/>
                <w:szCs w:val="20"/>
              </w:rPr>
            </w:pPr>
            <w:r>
              <w:rPr>
                <w:rFonts w:ascii="黑体" w:hAnsi="宋体" w:eastAsia="黑体"/>
                <w:color w:val="000000"/>
                <w:sz w:val="20"/>
                <w:szCs w:val="20"/>
              </w:rPr>
              <w:t>66</w:t>
            </w:r>
            <w:r>
              <w:rPr>
                <w:rFonts w:hint="eastAsia" w:ascii="黑体" w:hAnsi="宋体" w:eastAsia="黑体"/>
                <w:color w:val="000000"/>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hint="eastAsia" w:ascii="宋体" w:hAnsi="宋体"/>
                <w:color w:val="000000"/>
                <w:sz w:val="20"/>
                <w:szCs w:val="20"/>
              </w:rPr>
              <w:t>（二）公报发行总份数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600份</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1000" w:firstLineChars="500"/>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十、设置政府信息查阅点数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ind w:firstLine="200" w:firstLineChars="100"/>
              <w:rPr>
                <w:rFonts w:ascii="黑体" w:hAnsi="宋体" w:eastAsia="黑体"/>
                <w:color w:val="000000"/>
                <w:sz w:val="20"/>
                <w:szCs w:val="20"/>
              </w:rPr>
            </w:pPr>
            <w:r>
              <w:rPr>
                <w:rFonts w:ascii="黑体" w:hAnsi="宋体" w:eastAsia="黑体"/>
                <w:color w:val="000000"/>
                <w:sz w:val="20"/>
                <w:szCs w:val="20"/>
              </w:rPr>
              <w:t>78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（一）</w:t>
            </w:r>
            <w:r>
              <w:rPr>
                <w:rFonts w:hint="eastAsia" w:ascii="宋体" w:hAnsi="宋体"/>
                <w:color w:val="000000"/>
                <w:sz w:val="20"/>
                <w:szCs w:val="20"/>
              </w:rPr>
              <w:t>市政府及其部门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200" w:firstLineChars="100"/>
              <w:rPr>
                <w:rFonts w:ascii="黑体" w:hAnsi="宋体" w:eastAsia="黑体"/>
                <w:color w:val="000000"/>
                <w:sz w:val="20"/>
                <w:szCs w:val="20"/>
              </w:rPr>
            </w:pPr>
            <w:r>
              <w:rPr>
                <w:rFonts w:ascii="黑体" w:hAnsi="宋体" w:eastAsia="黑体"/>
                <w:color w:val="000000"/>
                <w:sz w:val="20"/>
                <w:szCs w:val="20"/>
              </w:rPr>
              <w:t>52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二</w:t>
            </w:r>
            <w:r>
              <w:rPr>
                <w:rFonts w:ascii="宋体" w:hAnsi="宋体"/>
                <w:color w:val="000000"/>
                <w:sz w:val="20"/>
                <w:szCs w:val="20"/>
              </w:rPr>
              <w:t>）</w:t>
            </w:r>
            <w:r>
              <w:rPr>
                <w:rFonts w:hint="eastAsia" w:ascii="宋体" w:hAnsi="宋体"/>
                <w:color w:val="000000"/>
                <w:sz w:val="20"/>
                <w:szCs w:val="20"/>
              </w:rPr>
              <w:t>县（市、区）政府及其部门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200" w:firstLineChars="100"/>
              <w:rPr>
                <w:rFonts w:ascii="黑体" w:hAnsi="宋体" w:eastAsia="黑体"/>
                <w:color w:val="000000"/>
                <w:sz w:val="20"/>
                <w:szCs w:val="20"/>
              </w:rPr>
            </w:pPr>
            <w:r>
              <w:rPr>
                <w:rFonts w:ascii="黑体" w:hAnsi="宋体" w:eastAsia="黑体"/>
                <w:color w:val="000000"/>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三</w:t>
            </w:r>
            <w:r>
              <w:rPr>
                <w:rFonts w:ascii="宋体" w:hAnsi="宋体"/>
                <w:color w:val="000000"/>
                <w:sz w:val="20"/>
                <w:szCs w:val="20"/>
              </w:rPr>
              <w:t>）</w:t>
            </w:r>
            <w:r>
              <w:rPr>
                <w:rFonts w:hint="eastAsia" w:ascii="宋体" w:hAnsi="宋体"/>
                <w:color w:val="000000"/>
                <w:sz w:val="20"/>
                <w:szCs w:val="20"/>
              </w:rPr>
              <w:t>乡镇政府（街道办事处）</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黑体" w:hAnsi="宋体" w:eastAsia="黑体"/>
                <w:color w:val="000000"/>
                <w:sz w:val="20"/>
                <w:szCs w:val="20"/>
              </w:rPr>
            </w:pPr>
            <w:r>
              <w:rPr>
                <w:rFonts w:hint="eastAsia" w:ascii="黑体" w:hAnsi="宋体" w:eastAsia="黑体"/>
                <w:color w:val="000000"/>
                <w:sz w:val="20"/>
                <w:szCs w:val="20"/>
              </w:rPr>
              <w:t xml:space="preserve">  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十一、查阅点接待人数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ind w:firstLine="200" w:firstLineChars="100"/>
              <w:rPr>
                <w:rFonts w:ascii="黑体" w:hAnsi="宋体" w:eastAsia="黑体"/>
                <w:color w:val="000000"/>
                <w:sz w:val="20"/>
                <w:szCs w:val="20"/>
              </w:rPr>
            </w:pPr>
            <w:r>
              <w:rPr>
                <w:rFonts w:ascii="黑体" w:hAnsi="宋体" w:eastAsia="黑体"/>
                <w:color w:val="000000"/>
                <w:sz w:val="20"/>
                <w:szCs w:val="20"/>
              </w:rPr>
              <w:t>5094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（一）</w:t>
            </w:r>
            <w:r>
              <w:rPr>
                <w:rFonts w:hint="eastAsia" w:ascii="宋体" w:hAnsi="宋体"/>
                <w:color w:val="000000"/>
                <w:sz w:val="20"/>
                <w:szCs w:val="20"/>
              </w:rPr>
              <w:t>市政府及其部门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ind w:firstLine="200" w:firstLineChars="100"/>
              <w:rPr>
                <w:rFonts w:ascii="黑体" w:hAnsi="宋体" w:eastAsia="黑体"/>
                <w:color w:val="000000"/>
                <w:sz w:val="20"/>
                <w:szCs w:val="20"/>
              </w:rPr>
            </w:pPr>
            <w:r>
              <w:rPr>
                <w:rFonts w:hint="eastAsia" w:ascii="黑体" w:hAnsi="宋体" w:eastAsia="黑体"/>
                <w:color w:val="000000"/>
                <w:sz w:val="20"/>
                <w:szCs w:val="20"/>
              </w:rPr>
              <w:t>48</w:t>
            </w:r>
            <w:r>
              <w:rPr>
                <w:rFonts w:ascii="黑体" w:hAnsi="宋体" w:eastAsia="黑体"/>
                <w:color w:val="000000"/>
                <w:sz w:val="20"/>
                <w:szCs w:val="20"/>
              </w:rPr>
              <w:t>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二</w:t>
            </w:r>
            <w:r>
              <w:rPr>
                <w:rFonts w:ascii="宋体" w:hAnsi="宋体"/>
                <w:color w:val="000000"/>
                <w:sz w:val="20"/>
                <w:szCs w:val="20"/>
              </w:rPr>
              <w:t>）</w:t>
            </w:r>
            <w:r>
              <w:rPr>
                <w:rFonts w:hint="eastAsia" w:ascii="宋体" w:hAnsi="宋体"/>
                <w:color w:val="000000"/>
                <w:sz w:val="20"/>
                <w:szCs w:val="20"/>
              </w:rPr>
              <w:t>县（市、区）政府及其部门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ind w:firstLine="200" w:firstLineChars="100"/>
              <w:rPr>
                <w:rFonts w:ascii="黑体" w:hAnsi="宋体" w:eastAsia="黑体"/>
                <w:color w:val="000000"/>
                <w:sz w:val="20"/>
                <w:szCs w:val="20"/>
              </w:rPr>
            </w:pPr>
            <w:r>
              <w:rPr>
                <w:rFonts w:ascii="黑体" w:hAnsi="宋体" w:eastAsia="黑体"/>
                <w:color w:val="000000"/>
                <w:sz w:val="20"/>
                <w:szCs w:val="20"/>
              </w:rPr>
              <w:t>210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三</w:t>
            </w:r>
            <w:r>
              <w:rPr>
                <w:rFonts w:ascii="宋体" w:hAnsi="宋体"/>
                <w:color w:val="000000"/>
                <w:sz w:val="20"/>
                <w:szCs w:val="20"/>
              </w:rPr>
              <w:t>）</w:t>
            </w:r>
            <w:r>
              <w:rPr>
                <w:rFonts w:hint="eastAsia" w:ascii="宋体" w:hAnsi="宋体"/>
                <w:color w:val="000000"/>
                <w:sz w:val="20"/>
                <w:szCs w:val="20"/>
              </w:rPr>
              <w:t>乡镇政府（街道办事处）</w:t>
            </w:r>
          </w:p>
        </w:tc>
        <w:tc>
          <w:tcPr>
            <w:tcW w:w="1002" w:type="dxa"/>
            <w:tcBorders>
              <w:top w:val="single" w:color="auto" w:sz="4" w:space="0"/>
              <w:left w:val="outset" w:color="000000" w:sz="6"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right w:val="outset" w:color="000000" w:sz="6" w:space="0"/>
            </w:tcBorders>
            <w:shd w:val="clear" w:color="auto" w:fill="FFFFFF"/>
            <w:vAlign w:val="center"/>
          </w:tcPr>
          <w:p>
            <w:pPr>
              <w:widowControl/>
              <w:spacing w:line="420" w:lineRule="atLeast"/>
              <w:ind w:firstLine="300" w:firstLineChars="150"/>
              <w:rPr>
                <w:rFonts w:ascii="黑体" w:hAnsi="宋体" w:eastAsia="黑体"/>
                <w:color w:val="000000"/>
                <w:sz w:val="20"/>
                <w:szCs w:val="20"/>
              </w:rPr>
            </w:pPr>
            <w:r>
              <w:rPr>
                <w:rFonts w:ascii="黑体" w:hAnsi="宋体" w:eastAsia="黑体"/>
                <w:color w:val="000000"/>
                <w:sz w:val="20"/>
                <w:szCs w:val="20"/>
              </w:rPr>
              <w:t>84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十二、机构建设和保障经费情况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（一）政府信息公开工作专门机构数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（二）设置政府信息公开查阅点数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78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（三）从事政府信息公开工作人员数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141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1.专职人员数（不包括政府公报及政府网站工作人员数）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2.兼职人员数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106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（四）政府信息公开专项经费（不包括用于政府公报编辑管理及政府网站建设维</w:t>
            </w:r>
            <w:r>
              <w:rPr>
                <w:rFonts w:ascii="宋体" w:hAnsi="宋体"/>
                <w:color w:val="000000"/>
                <w:sz w:val="20"/>
                <w:szCs w:val="20"/>
              </w:rPr>
              <w:br w:type="textWrapping"/>
            </w:r>
            <w:r>
              <w:rPr>
                <w:rFonts w:ascii="宋体" w:hAnsi="宋体"/>
                <w:color w:val="000000"/>
                <w:sz w:val="20"/>
                <w:szCs w:val="20"/>
              </w:rPr>
              <w:t>　　　　　护等方面的经费）</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万元</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w:t>
            </w:r>
            <w:r>
              <w:rPr>
                <w:rFonts w:ascii="宋体" w:hAnsi="宋体"/>
                <w:color w:val="000000"/>
                <w:sz w:val="20"/>
                <w:szCs w:val="20"/>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十三、政府信息公开会议和培训情况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（一）召开政府信息公开工作会议或专题会议数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（二）举办各类培训班数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707"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（三）接受培训人员数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rPr>
              <w:t>　200</w:t>
            </w:r>
          </w:p>
        </w:tc>
      </w:tr>
    </w:tbl>
    <w:p>
      <w:pPr>
        <w:rPr>
          <w:rFonts w:ascii="宋体" w:hAnsi="宋体"/>
          <w:color w:val="000000"/>
          <w:sz w:val="20"/>
          <w:szCs w:val="20"/>
        </w:rPr>
      </w:pPr>
      <w:r>
        <w:rPr>
          <w:rFonts w:hint="eastAsia" w:ascii="宋体" w:hAnsi="宋体"/>
          <w:color w:val="000000"/>
          <w:sz w:val="20"/>
          <w:szCs w:val="20"/>
        </w:rPr>
        <w:t>（注：各子栏目数总数要等于总栏目数量）</w:t>
      </w: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
      <w:pPr>
        <w:pStyle w:val="6"/>
        <w:widowControl/>
        <w:spacing w:beforeAutospacing="0" w:afterAutospacing="0" w:line="360" w:lineRule="auto"/>
        <w:ind w:firstLine="640" w:firstLineChars="200"/>
        <w:jc w:val="both"/>
        <w:rPr>
          <w:rFonts w:hint="eastAsia" w:ascii="仿宋_GB2312" w:eastAsia="仿宋_GB2312" w:cstheme="minorBidi"/>
          <w:kern w:val="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经典黑体简">
    <w:altName w:val="黑体"/>
    <w:panose1 w:val="02010609000101010101"/>
    <w:charset w:val="86"/>
    <w:family w:val="modern"/>
    <w:pitch w:val="default"/>
    <w:sig w:usb0="00000000" w:usb1="00000000" w:usb2="0000001E" w:usb3="00000000" w:csb0="2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ˎ̥">
    <w:altName w:val="Times New Roman"/>
    <w:panose1 w:val="00000000000000000000"/>
    <w:charset w:val="00"/>
    <w:family w:val="roman"/>
    <w:pitch w:val="default"/>
    <w:sig w:usb0="00000000" w:usb1="00000000" w:usb2="00000000" w:usb3="00000000" w:csb0="00000000" w:csb1="00000000"/>
  </w:font>
  <w:font w:name="方正仿宋简体">
    <w:panose1 w:val="0201060103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866900"/>
    </w:sdtPr>
    <w:sdtContent>
      <w:p>
        <w:pPr>
          <w:pStyle w:val="4"/>
          <w:jc w:val="center"/>
        </w:pPr>
        <w:r>
          <w:fldChar w:fldCharType="begin"/>
        </w:r>
        <w:r>
          <w:instrText xml:space="preserve"> PAGE   \* MERGEFORMAT </w:instrText>
        </w:r>
        <w:r>
          <w:fldChar w:fldCharType="separate"/>
        </w:r>
        <w:r>
          <w:rPr>
            <w:lang w:val="zh-CN"/>
          </w:rPr>
          <w:t>25</w:t>
        </w:r>
        <w:r>
          <w:rPr>
            <w:lang w:val="zh-CN"/>
          </w:rP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69D39A"/>
    <w:multiLevelType w:val="singleLevel"/>
    <w:tmpl w:val="5A69D39A"/>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0DB5287"/>
    <w:rsid w:val="00003ADE"/>
    <w:rsid w:val="00014A2B"/>
    <w:rsid w:val="000279CF"/>
    <w:rsid w:val="00035775"/>
    <w:rsid w:val="00036BF1"/>
    <w:rsid w:val="00037B32"/>
    <w:rsid w:val="00045C33"/>
    <w:rsid w:val="00050AFA"/>
    <w:rsid w:val="00052F3E"/>
    <w:rsid w:val="000565A8"/>
    <w:rsid w:val="0007386D"/>
    <w:rsid w:val="000768C6"/>
    <w:rsid w:val="00083BC4"/>
    <w:rsid w:val="000A6F4F"/>
    <w:rsid w:val="000E1934"/>
    <w:rsid w:val="001063EB"/>
    <w:rsid w:val="0010694F"/>
    <w:rsid w:val="00135D92"/>
    <w:rsid w:val="001545F8"/>
    <w:rsid w:val="00177D94"/>
    <w:rsid w:val="00184D5C"/>
    <w:rsid w:val="001F0099"/>
    <w:rsid w:val="002035FC"/>
    <w:rsid w:val="0020751C"/>
    <w:rsid w:val="002356F4"/>
    <w:rsid w:val="00247BF9"/>
    <w:rsid w:val="00257BCF"/>
    <w:rsid w:val="0026057F"/>
    <w:rsid w:val="002D5C48"/>
    <w:rsid w:val="002E1C3B"/>
    <w:rsid w:val="002F504F"/>
    <w:rsid w:val="00312E20"/>
    <w:rsid w:val="00341D6A"/>
    <w:rsid w:val="003667F5"/>
    <w:rsid w:val="00370646"/>
    <w:rsid w:val="00377CBC"/>
    <w:rsid w:val="003821A0"/>
    <w:rsid w:val="00396FFB"/>
    <w:rsid w:val="003E250F"/>
    <w:rsid w:val="004000EA"/>
    <w:rsid w:val="00423394"/>
    <w:rsid w:val="0042520B"/>
    <w:rsid w:val="00427194"/>
    <w:rsid w:val="00467DE0"/>
    <w:rsid w:val="00493D06"/>
    <w:rsid w:val="004A04D8"/>
    <w:rsid w:val="004B465F"/>
    <w:rsid w:val="004C1179"/>
    <w:rsid w:val="004C5C67"/>
    <w:rsid w:val="004D337F"/>
    <w:rsid w:val="004D6B57"/>
    <w:rsid w:val="004E0A45"/>
    <w:rsid w:val="004F22B0"/>
    <w:rsid w:val="004F690A"/>
    <w:rsid w:val="00536126"/>
    <w:rsid w:val="0057158A"/>
    <w:rsid w:val="00591AD4"/>
    <w:rsid w:val="005B3F27"/>
    <w:rsid w:val="005C2654"/>
    <w:rsid w:val="005D1181"/>
    <w:rsid w:val="005D600C"/>
    <w:rsid w:val="005F0A0C"/>
    <w:rsid w:val="005F687A"/>
    <w:rsid w:val="0060651C"/>
    <w:rsid w:val="006277F7"/>
    <w:rsid w:val="00634B2F"/>
    <w:rsid w:val="00651062"/>
    <w:rsid w:val="00654C65"/>
    <w:rsid w:val="00662660"/>
    <w:rsid w:val="0066302D"/>
    <w:rsid w:val="00671945"/>
    <w:rsid w:val="00673D5C"/>
    <w:rsid w:val="00692ED9"/>
    <w:rsid w:val="006A13FB"/>
    <w:rsid w:val="006A23C7"/>
    <w:rsid w:val="006D0188"/>
    <w:rsid w:val="0070423F"/>
    <w:rsid w:val="00733922"/>
    <w:rsid w:val="00791568"/>
    <w:rsid w:val="0079168F"/>
    <w:rsid w:val="007979F8"/>
    <w:rsid w:val="00797AF4"/>
    <w:rsid w:val="007A1D68"/>
    <w:rsid w:val="007C35A4"/>
    <w:rsid w:val="008212E5"/>
    <w:rsid w:val="008408FB"/>
    <w:rsid w:val="0087357C"/>
    <w:rsid w:val="0087604B"/>
    <w:rsid w:val="008A7CEE"/>
    <w:rsid w:val="008C0FE2"/>
    <w:rsid w:val="008E0A44"/>
    <w:rsid w:val="00903E26"/>
    <w:rsid w:val="009060EB"/>
    <w:rsid w:val="00940699"/>
    <w:rsid w:val="0094493F"/>
    <w:rsid w:val="00956A1C"/>
    <w:rsid w:val="009635D2"/>
    <w:rsid w:val="00973A78"/>
    <w:rsid w:val="009802C4"/>
    <w:rsid w:val="009B3AAF"/>
    <w:rsid w:val="009B5464"/>
    <w:rsid w:val="009D139E"/>
    <w:rsid w:val="009D3FEE"/>
    <w:rsid w:val="009E0A80"/>
    <w:rsid w:val="00A00C37"/>
    <w:rsid w:val="00A11829"/>
    <w:rsid w:val="00A13A32"/>
    <w:rsid w:val="00A246D3"/>
    <w:rsid w:val="00A31A68"/>
    <w:rsid w:val="00A3779A"/>
    <w:rsid w:val="00A74F7C"/>
    <w:rsid w:val="00A80AE4"/>
    <w:rsid w:val="00AA407D"/>
    <w:rsid w:val="00AC5E28"/>
    <w:rsid w:val="00B07C0E"/>
    <w:rsid w:val="00B248EC"/>
    <w:rsid w:val="00B578B6"/>
    <w:rsid w:val="00BD1338"/>
    <w:rsid w:val="00BD1C5C"/>
    <w:rsid w:val="00BD2B11"/>
    <w:rsid w:val="00BF1A23"/>
    <w:rsid w:val="00C12E5E"/>
    <w:rsid w:val="00C1435C"/>
    <w:rsid w:val="00C230CA"/>
    <w:rsid w:val="00C96C7B"/>
    <w:rsid w:val="00CC7E71"/>
    <w:rsid w:val="00CE4D0B"/>
    <w:rsid w:val="00CF1A9D"/>
    <w:rsid w:val="00D330FF"/>
    <w:rsid w:val="00D42839"/>
    <w:rsid w:val="00D53F77"/>
    <w:rsid w:val="00D771AC"/>
    <w:rsid w:val="00D903E5"/>
    <w:rsid w:val="00D92745"/>
    <w:rsid w:val="00D94588"/>
    <w:rsid w:val="00DA089A"/>
    <w:rsid w:val="00DA1613"/>
    <w:rsid w:val="00DB13F2"/>
    <w:rsid w:val="00DD0816"/>
    <w:rsid w:val="00DD670A"/>
    <w:rsid w:val="00E05EA5"/>
    <w:rsid w:val="00E14C97"/>
    <w:rsid w:val="00E228D6"/>
    <w:rsid w:val="00E408E4"/>
    <w:rsid w:val="00E47D8C"/>
    <w:rsid w:val="00E66462"/>
    <w:rsid w:val="00E83106"/>
    <w:rsid w:val="00E84489"/>
    <w:rsid w:val="00EC159A"/>
    <w:rsid w:val="00EC7F92"/>
    <w:rsid w:val="00EE6A48"/>
    <w:rsid w:val="00EE6A80"/>
    <w:rsid w:val="00EF6755"/>
    <w:rsid w:val="00F00F0C"/>
    <w:rsid w:val="00F148DB"/>
    <w:rsid w:val="00F46630"/>
    <w:rsid w:val="00F71FFD"/>
    <w:rsid w:val="00F72BA8"/>
    <w:rsid w:val="00F96B53"/>
    <w:rsid w:val="00FA3611"/>
    <w:rsid w:val="00FD0C82"/>
    <w:rsid w:val="0270337D"/>
    <w:rsid w:val="02FF157D"/>
    <w:rsid w:val="069829D4"/>
    <w:rsid w:val="0914048F"/>
    <w:rsid w:val="0CF23740"/>
    <w:rsid w:val="0DDD0B32"/>
    <w:rsid w:val="10832DA5"/>
    <w:rsid w:val="10D1686F"/>
    <w:rsid w:val="12952399"/>
    <w:rsid w:val="1762192C"/>
    <w:rsid w:val="195640F5"/>
    <w:rsid w:val="1CE4733E"/>
    <w:rsid w:val="2244664C"/>
    <w:rsid w:val="288256D1"/>
    <w:rsid w:val="290D074D"/>
    <w:rsid w:val="2C863BCF"/>
    <w:rsid w:val="2F005766"/>
    <w:rsid w:val="2F472449"/>
    <w:rsid w:val="2F944626"/>
    <w:rsid w:val="30DB5287"/>
    <w:rsid w:val="30DD461C"/>
    <w:rsid w:val="332A0522"/>
    <w:rsid w:val="34977005"/>
    <w:rsid w:val="39F61324"/>
    <w:rsid w:val="3A555CEF"/>
    <w:rsid w:val="3BF93F74"/>
    <w:rsid w:val="3CF90231"/>
    <w:rsid w:val="3DAA69C0"/>
    <w:rsid w:val="3DCC1FF7"/>
    <w:rsid w:val="3FE767CD"/>
    <w:rsid w:val="404F744F"/>
    <w:rsid w:val="41FD421F"/>
    <w:rsid w:val="45BB1C03"/>
    <w:rsid w:val="50487030"/>
    <w:rsid w:val="62AA1436"/>
    <w:rsid w:val="699627CB"/>
    <w:rsid w:val="69F3239E"/>
    <w:rsid w:val="6AB660E4"/>
    <w:rsid w:val="6B305663"/>
    <w:rsid w:val="6E1E4A17"/>
    <w:rsid w:val="6FC56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qFormat="1"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character" w:default="1" w:styleId="7">
    <w:name w:val="Default Paragraph Font"/>
    <w:semiHidden/>
    <w:unhideWhenUsed/>
    <w:qFormat/>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5"/>
    <w:qFormat/>
    <w:uiPriority w:val="0"/>
    <w:rPr>
      <w:sz w:val="18"/>
      <w:szCs w:val="18"/>
    </w:rPr>
  </w:style>
  <w:style w:type="paragraph" w:styleId="4">
    <w:name w:val="footer"/>
    <w:basedOn w:val="1"/>
    <w:link w:val="14"/>
    <w:qFormat/>
    <w:uiPriority w:val="99"/>
    <w:pPr>
      <w:tabs>
        <w:tab w:val="center" w:pos="4153"/>
        <w:tab w:val="right" w:pos="8306"/>
      </w:tabs>
      <w:snapToGrid w:val="0"/>
      <w:jc w:val="left"/>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link w:val="18"/>
    <w:qFormat/>
    <w:uiPriority w:val="99"/>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FollowedHyperlink"/>
    <w:basedOn w:val="7"/>
    <w:qFormat/>
    <w:uiPriority w:val="0"/>
    <w:rPr>
      <w:color w:val="353535"/>
      <w:sz w:val="22"/>
      <w:szCs w:val="22"/>
      <w:u w:val="none"/>
    </w:rPr>
  </w:style>
  <w:style w:type="character" w:styleId="10">
    <w:name w:val="HTML Typewriter"/>
    <w:qFormat/>
    <w:uiPriority w:val="0"/>
    <w:rPr>
      <w:rFonts w:ascii="宋体" w:hAnsi="宋体" w:eastAsia="宋体" w:cs="宋体"/>
      <w:sz w:val="24"/>
      <w:szCs w:val="24"/>
    </w:rPr>
  </w:style>
  <w:style w:type="character" w:styleId="11">
    <w:name w:val="Hyperlink"/>
    <w:basedOn w:val="7"/>
    <w:qFormat/>
    <w:uiPriority w:val="0"/>
    <w:rPr>
      <w:color w:val="3D3D3D"/>
      <w:u w:val="none"/>
    </w:rPr>
  </w:style>
  <w:style w:type="character" w:customStyle="1" w:styleId="13">
    <w:name w:val="页眉 Char"/>
    <w:basedOn w:val="7"/>
    <w:link w:val="5"/>
    <w:qFormat/>
    <w:uiPriority w:val="0"/>
    <w:rPr>
      <w:kern w:val="2"/>
      <w:sz w:val="18"/>
      <w:szCs w:val="18"/>
    </w:rPr>
  </w:style>
  <w:style w:type="character" w:customStyle="1" w:styleId="14">
    <w:name w:val="页脚 Char"/>
    <w:basedOn w:val="7"/>
    <w:link w:val="4"/>
    <w:qFormat/>
    <w:uiPriority w:val="99"/>
    <w:rPr>
      <w:kern w:val="2"/>
      <w:sz w:val="18"/>
      <w:szCs w:val="18"/>
    </w:rPr>
  </w:style>
  <w:style w:type="character" w:customStyle="1" w:styleId="15">
    <w:name w:val="批注框文本 Char"/>
    <w:basedOn w:val="7"/>
    <w:link w:val="3"/>
    <w:qFormat/>
    <w:uiPriority w:val="0"/>
    <w:rPr>
      <w:kern w:val="2"/>
      <w:sz w:val="18"/>
      <w:szCs w:val="18"/>
    </w:rPr>
  </w:style>
  <w:style w:type="paragraph" w:customStyle="1" w:styleId="16">
    <w:name w:val="列出段落1"/>
    <w:basedOn w:val="1"/>
    <w:qFormat/>
    <w:uiPriority w:val="34"/>
    <w:pPr>
      <w:ind w:firstLine="420" w:firstLineChars="200"/>
    </w:pPr>
    <w:rPr>
      <w:szCs w:val="22"/>
    </w:rPr>
  </w:style>
  <w:style w:type="paragraph" w:customStyle="1" w:styleId="17">
    <w:name w:val="Char Char Char Char1 Char Char Char Char Char Char Char Char Char Char Char Char Char Char Char Char Char"/>
    <w:basedOn w:val="1"/>
    <w:qFormat/>
    <w:uiPriority w:val="0"/>
    <w:pPr>
      <w:widowControl/>
      <w:spacing w:after="160" w:line="240" w:lineRule="exact"/>
      <w:ind w:firstLine="980" w:firstLineChars="350"/>
      <w:jc w:val="left"/>
    </w:pPr>
    <w:rPr>
      <w:rFonts w:ascii="Verdana" w:hAnsi="Verdana" w:eastAsia="仿宋_GB2312" w:cs="Times New Roman"/>
      <w:kern w:val="0"/>
      <w:sz w:val="28"/>
      <w:szCs w:val="28"/>
      <w:lang w:eastAsia="en-US"/>
    </w:rPr>
  </w:style>
  <w:style w:type="character" w:customStyle="1" w:styleId="18">
    <w:name w:val="普通(网站) Char"/>
    <w:basedOn w:val="7"/>
    <w:link w:val="6"/>
    <w:qFormat/>
    <w:locked/>
    <w:uiPriority w:val="0"/>
    <w:rPr>
      <w:rFonts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3EA244-AC99-4E44-AEC8-F8D3C75E173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1099</Words>
  <Characters>6268</Characters>
  <Lines>52</Lines>
  <Paragraphs>14</Paragraphs>
  <ScaleCrop>false</ScaleCrop>
  <LinksUpToDate>false</LinksUpToDate>
  <CharactersWithSpaces>7353</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2018-01-25T02:29:00Z</dcterms:created>
  <dc:creator>Administrator</dc:creator>
  <cp:lastModifiedBy>李大龙</cp:lastModifiedBy>
  <cp:lastPrinted>2018-01-26T03:28:00Z</cp:lastPrinted>
  <dcterms:modified xsi:type="dcterms:W3CDTF">2018-03-27T02:55:32Z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